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Ex1.xml" ContentType="application/vnd.ms-office.chartex+xml"/>
  <Override PartName="/word/charts/style3.xml" ContentType="application/vnd.ms-office.chartstyle+xml"/>
  <Override PartName="/word/charts/colors3.xml" ContentType="application/vnd.ms-office.chartcolorstyle+xml"/>
  <Override PartName="/word/charts/chart3.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4.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5.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6.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1.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2.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88755" w14:textId="13C2B158" w:rsidR="00F11AB3" w:rsidRDefault="00F11AB3" w:rsidP="00F11AB3">
      <w:pPr>
        <w:autoSpaceDE w:val="0"/>
        <w:autoSpaceDN w:val="0"/>
        <w:adjustRightInd w:val="0"/>
        <w:jc w:val="center"/>
        <w:rPr>
          <w:rFonts w:ascii="Arial" w:hAnsi="Arial" w:cs="Arial"/>
          <w:sz w:val="24"/>
          <w:szCs w:val="24"/>
        </w:rPr>
      </w:pPr>
    </w:p>
    <w:p w14:paraId="12EC6BD7" w14:textId="36FC39C1" w:rsidR="00F11AB3" w:rsidRDefault="00F15C47" w:rsidP="003D04B8">
      <w:pPr>
        <w:pStyle w:val="Title"/>
      </w:pPr>
      <w:r w:rsidRPr="003D04B8">
        <w:drawing>
          <wp:inline distT="0" distB="0" distL="0" distR="0" wp14:anchorId="0540703E" wp14:editId="0C245E1F">
            <wp:extent cx="5943600" cy="18008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800860"/>
                    </a:xfrm>
                    <a:prstGeom prst="rect">
                      <a:avLst/>
                    </a:prstGeom>
                    <a:noFill/>
                    <a:ln>
                      <a:noFill/>
                    </a:ln>
                  </pic:spPr>
                </pic:pic>
              </a:graphicData>
            </a:graphic>
          </wp:inline>
        </w:drawing>
      </w:r>
    </w:p>
    <w:p w14:paraId="12F1C285" w14:textId="77777777" w:rsidR="00F11AB3" w:rsidRDefault="00F11AB3" w:rsidP="00F11AB3">
      <w:pPr>
        <w:autoSpaceDE w:val="0"/>
        <w:autoSpaceDN w:val="0"/>
        <w:adjustRightInd w:val="0"/>
        <w:jc w:val="center"/>
        <w:rPr>
          <w:rFonts w:ascii="Arial" w:hAnsi="Arial" w:cs="Arial"/>
          <w:sz w:val="24"/>
          <w:szCs w:val="24"/>
        </w:rPr>
      </w:pPr>
    </w:p>
    <w:p w14:paraId="5FC029BA" w14:textId="77777777" w:rsidR="00F11AB3" w:rsidRDefault="00F11AB3" w:rsidP="00F11AB3">
      <w:pPr>
        <w:autoSpaceDE w:val="0"/>
        <w:autoSpaceDN w:val="0"/>
        <w:adjustRightInd w:val="0"/>
        <w:jc w:val="center"/>
        <w:rPr>
          <w:rFonts w:ascii="Arial" w:hAnsi="Arial" w:cs="Arial"/>
          <w:sz w:val="24"/>
          <w:szCs w:val="24"/>
        </w:rPr>
      </w:pPr>
    </w:p>
    <w:p w14:paraId="6A0DB45C" w14:textId="2B2D07FA" w:rsidR="00F11AB3" w:rsidRDefault="00F11AB3" w:rsidP="00F11AB3">
      <w:pPr>
        <w:autoSpaceDE w:val="0"/>
        <w:autoSpaceDN w:val="0"/>
        <w:adjustRightInd w:val="0"/>
        <w:jc w:val="center"/>
        <w:rPr>
          <w:rFonts w:ascii="Arial" w:hAnsi="Arial" w:cs="Arial"/>
          <w:sz w:val="24"/>
          <w:szCs w:val="24"/>
        </w:rPr>
      </w:pPr>
    </w:p>
    <w:p w14:paraId="7997C002" w14:textId="77777777" w:rsidR="00F15C47" w:rsidRDefault="00F15C47" w:rsidP="00F11AB3">
      <w:pPr>
        <w:autoSpaceDE w:val="0"/>
        <w:autoSpaceDN w:val="0"/>
        <w:adjustRightInd w:val="0"/>
        <w:jc w:val="center"/>
        <w:rPr>
          <w:rFonts w:ascii="Arial" w:hAnsi="Arial" w:cs="Arial"/>
          <w:sz w:val="24"/>
          <w:szCs w:val="24"/>
        </w:rPr>
      </w:pPr>
    </w:p>
    <w:p w14:paraId="2ACD2DED" w14:textId="77777777" w:rsidR="00F11AB3" w:rsidRPr="003D04B8" w:rsidRDefault="00F11AB3" w:rsidP="003D04B8">
      <w:pPr>
        <w:pStyle w:val="Title"/>
        <w:jc w:val="center"/>
        <w:rPr>
          <w:b/>
          <w:bCs/>
          <w:color w:val="385623" w:themeColor="accent6" w:themeShade="80"/>
        </w:rPr>
      </w:pPr>
      <w:r w:rsidRPr="003D04B8">
        <w:rPr>
          <w:b/>
          <w:bCs/>
          <w:color w:val="385623" w:themeColor="accent6" w:themeShade="80"/>
        </w:rPr>
        <w:t>Operating Budget Report</w:t>
      </w:r>
    </w:p>
    <w:p w14:paraId="1C67A448" w14:textId="77777777" w:rsidR="00F11AB3" w:rsidRPr="003D04B8" w:rsidRDefault="00F11AB3" w:rsidP="00BB306D">
      <w:pPr>
        <w:pStyle w:val="Heading1"/>
        <w:rPr>
          <w:b/>
          <w:bCs/>
          <w:color w:val="385623" w:themeColor="accent6" w:themeShade="80"/>
        </w:rPr>
      </w:pPr>
    </w:p>
    <w:p w14:paraId="4F162710" w14:textId="1F3C4960" w:rsidR="00F11AB3" w:rsidRPr="003D04B8" w:rsidRDefault="00F11AB3" w:rsidP="003D04B8">
      <w:pPr>
        <w:pStyle w:val="Title"/>
        <w:jc w:val="center"/>
        <w:rPr>
          <w:b/>
          <w:bCs/>
          <w:color w:val="385623" w:themeColor="accent6" w:themeShade="80"/>
        </w:rPr>
      </w:pPr>
      <w:r w:rsidRPr="003D04B8">
        <w:rPr>
          <w:b/>
          <w:bCs/>
          <w:color w:val="385623" w:themeColor="accent6" w:themeShade="80"/>
        </w:rPr>
        <w:t>201</w:t>
      </w:r>
      <w:r w:rsidR="00D42ADB" w:rsidRPr="003D04B8">
        <w:rPr>
          <w:b/>
          <w:bCs/>
          <w:color w:val="385623" w:themeColor="accent6" w:themeShade="80"/>
        </w:rPr>
        <w:t>9</w:t>
      </w:r>
      <w:r w:rsidR="00C36B74" w:rsidRPr="003D04B8">
        <w:rPr>
          <w:b/>
          <w:bCs/>
          <w:color w:val="385623" w:themeColor="accent6" w:themeShade="80"/>
        </w:rPr>
        <w:t>/20</w:t>
      </w:r>
      <w:r w:rsidR="00D42ADB" w:rsidRPr="003D04B8">
        <w:rPr>
          <w:b/>
          <w:bCs/>
          <w:color w:val="385623" w:themeColor="accent6" w:themeShade="80"/>
        </w:rPr>
        <w:t>20</w:t>
      </w:r>
    </w:p>
    <w:p w14:paraId="1FE5608A" w14:textId="77777777" w:rsidR="00F11AB3" w:rsidRPr="003D04B8" w:rsidRDefault="00F11AB3" w:rsidP="00F11AB3">
      <w:pPr>
        <w:autoSpaceDE w:val="0"/>
        <w:autoSpaceDN w:val="0"/>
        <w:adjustRightInd w:val="0"/>
        <w:jc w:val="center"/>
        <w:rPr>
          <w:rFonts w:ascii="Arial" w:hAnsi="Arial" w:cs="Arial"/>
          <w:b/>
          <w:bCs/>
          <w:sz w:val="24"/>
          <w:szCs w:val="24"/>
        </w:rPr>
      </w:pPr>
      <w:r w:rsidRPr="003D04B8">
        <w:rPr>
          <w:rFonts w:ascii="Arial" w:hAnsi="Arial" w:cs="Arial"/>
          <w:b/>
          <w:bCs/>
          <w:sz w:val="24"/>
          <w:szCs w:val="24"/>
        </w:rPr>
        <w:br w:type="page"/>
      </w:r>
    </w:p>
    <w:p w14:paraId="3DB54BCD" w14:textId="01F41193" w:rsidR="00960DDC" w:rsidRPr="003D04B8" w:rsidRDefault="00732D57" w:rsidP="003D04B8">
      <w:pPr>
        <w:pStyle w:val="Heading1"/>
        <w:rPr>
          <w:b/>
          <w:bCs/>
          <w:color w:val="385623" w:themeColor="accent6" w:themeShade="80"/>
        </w:rPr>
      </w:pPr>
      <w:r w:rsidRPr="003D04B8">
        <w:rPr>
          <w:b/>
          <w:bCs/>
          <w:color w:val="385623" w:themeColor="accent6" w:themeShade="80"/>
        </w:rPr>
        <w:lastRenderedPageBreak/>
        <w:t>201</w:t>
      </w:r>
      <w:r w:rsidR="00C56E67" w:rsidRPr="003D04B8">
        <w:rPr>
          <w:b/>
          <w:bCs/>
          <w:color w:val="385623" w:themeColor="accent6" w:themeShade="80"/>
        </w:rPr>
        <w:t>9</w:t>
      </w:r>
      <w:r w:rsidRPr="003D04B8">
        <w:rPr>
          <w:b/>
          <w:bCs/>
          <w:color w:val="385623" w:themeColor="accent6" w:themeShade="80"/>
        </w:rPr>
        <w:t>/20</w:t>
      </w:r>
      <w:r w:rsidR="00C56E67" w:rsidRPr="003D04B8">
        <w:rPr>
          <w:b/>
          <w:bCs/>
          <w:color w:val="385623" w:themeColor="accent6" w:themeShade="80"/>
        </w:rPr>
        <w:t>20</w:t>
      </w:r>
      <w:r w:rsidRPr="003D04B8">
        <w:rPr>
          <w:b/>
          <w:bCs/>
          <w:color w:val="385623" w:themeColor="accent6" w:themeShade="80"/>
        </w:rPr>
        <w:t xml:space="preserve"> BUDGET REPORT</w:t>
      </w:r>
    </w:p>
    <w:p w14:paraId="30C8CF0B" w14:textId="77777777" w:rsidR="00FD04D4" w:rsidRPr="003D04B8" w:rsidRDefault="00FD04D4" w:rsidP="003D04B8">
      <w:pPr>
        <w:pStyle w:val="Heading1"/>
        <w:rPr>
          <w:rFonts w:ascii="Arial" w:hAnsi="Arial" w:cs="Arial"/>
          <w:b/>
          <w:bCs/>
          <w:color w:val="000000" w:themeColor="text1"/>
          <w:sz w:val="24"/>
          <w:szCs w:val="24"/>
        </w:rPr>
      </w:pPr>
      <w:r w:rsidRPr="003D04B8">
        <w:rPr>
          <w:rFonts w:ascii="Arial" w:hAnsi="Arial" w:cs="Arial"/>
          <w:b/>
          <w:bCs/>
          <w:color w:val="000000" w:themeColor="text1"/>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4"/>
        <w:gridCol w:w="1766"/>
      </w:tblGrid>
      <w:tr w:rsidR="00FD04D4" w14:paraId="14BAA181" w14:textId="77777777" w:rsidTr="00C45A21">
        <w:tc>
          <w:tcPr>
            <w:tcW w:w="7584" w:type="dxa"/>
          </w:tcPr>
          <w:p w14:paraId="580FFD17" w14:textId="77777777" w:rsidR="00FD04D4" w:rsidRDefault="00FD04D4" w:rsidP="00FD04D4">
            <w:pPr>
              <w:autoSpaceDE w:val="0"/>
              <w:autoSpaceDN w:val="0"/>
              <w:adjustRightInd w:val="0"/>
              <w:spacing w:before="120" w:after="120"/>
              <w:rPr>
                <w:rFonts w:ascii="Arial" w:hAnsi="Arial" w:cs="Arial"/>
                <w:color w:val="000000" w:themeColor="text1"/>
                <w:sz w:val="24"/>
                <w:szCs w:val="24"/>
              </w:rPr>
            </w:pPr>
          </w:p>
        </w:tc>
        <w:tc>
          <w:tcPr>
            <w:tcW w:w="1766" w:type="dxa"/>
          </w:tcPr>
          <w:p w14:paraId="786D509D" w14:textId="20097AA1" w:rsidR="00FD04D4" w:rsidRPr="00BB306D" w:rsidRDefault="00FD04D4" w:rsidP="003D04B8">
            <w:pPr>
              <w:pStyle w:val="Heading2"/>
              <w:rPr>
                <w:rStyle w:val="SubtleEmphasis"/>
              </w:rPr>
            </w:pPr>
            <w:r w:rsidRPr="00BB306D">
              <w:rPr>
                <w:rStyle w:val="SubtleEmphasis"/>
              </w:rPr>
              <w:t>Page Number</w:t>
            </w:r>
          </w:p>
        </w:tc>
      </w:tr>
      <w:tr w:rsidR="00FD04D4" w:rsidRPr="00FD04D4" w14:paraId="4B17C392" w14:textId="77777777" w:rsidTr="00C45A21">
        <w:tc>
          <w:tcPr>
            <w:tcW w:w="7584" w:type="dxa"/>
          </w:tcPr>
          <w:p w14:paraId="56D29F1D" w14:textId="170F7FCB" w:rsidR="00FD04D4" w:rsidRPr="00BB306D" w:rsidRDefault="00FD04D4" w:rsidP="003D04B8">
            <w:pPr>
              <w:rPr>
                <w:rStyle w:val="SubtleEmphasis"/>
              </w:rPr>
            </w:pPr>
            <w:r w:rsidRPr="00BB306D">
              <w:rPr>
                <w:rStyle w:val="SubtleEmphasis"/>
              </w:rPr>
              <w:t>Forew</w:t>
            </w:r>
            <w:r w:rsidR="00C45A21" w:rsidRPr="00BB306D">
              <w:rPr>
                <w:rStyle w:val="SubtleEmphasis"/>
              </w:rPr>
              <w:t>o</w:t>
            </w:r>
            <w:r w:rsidRPr="00BB306D">
              <w:rPr>
                <w:rStyle w:val="SubtleEmphasis"/>
              </w:rPr>
              <w:t>rd</w:t>
            </w:r>
          </w:p>
        </w:tc>
        <w:tc>
          <w:tcPr>
            <w:tcW w:w="1766" w:type="dxa"/>
          </w:tcPr>
          <w:p w14:paraId="692EFFC9" w14:textId="67B361D4" w:rsidR="00FD04D4" w:rsidRPr="00BB306D" w:rsidRDefault="00FD04D4" w:rsidP="003D04B8">
            <w:pPr>
              <w:rPr>
                <w:rStyle w:val="SubtleEmphasis"/>
              </w:rPr>
            </w:pPr>
            <w:r w:rsidRPr="00BB306D">
              <w:rPr>
                <w:rStyle w:val="SubtleEmphasis"/>
              </w:rPr>
              <w:t>3</w:t>
            </w:r>
          </w:p>
        </w:tc>
      </w:tr>
      <w:tr w:rsidR="00FD04D4" w:rsidRPr="00FD04D4" w14:paraId="59B9325D" w14:textId="77777777" w:rsidTr="00C45A21">
        <w:tc>
          <w:tcPr>
            <w:tcW w:w="7584" w:type="dxa"/>
          </w:tcPr>
          <w:p w14:paraId="69B6940C" w14:textId="26B2303B" w:rsidR="00FD04D4" w:rsidRPr="00BB306D" w:rsidRDefault="00FD04D4" w:rsidP="003D04B8">
            <w:pPr>
              <w:rPr>
                <w:rStyle w:val="SubtleEmphasis"/>
              </w:rPr>
            </w:pPr>
            <w:r w:rsidRPr="00BB306D">
              <w:rPr>
                <w:rStyle w:val="SubtleEmphasis"/>
              </w:rPr>
              <w:t>Executive Summary</w:t>
            </w:r>
          </w:p>
        </w:tc>
        <w:tc>
          <w:tcPr>
            <w:tcW w:w="1766" w:type="dxa"/>
          </w:tcPr>
          <w:p w14:paraId="1C5A92AA" w14:textId="67BCDD34" w:rsidR="00FD04D4" w:rsidRPr="00BB306D" w:rsidRDefault="00FD04D4" w:rsidP="003D04B8">
            <w:pPr>
              <w:rPr>
                <w:rStyle w:val="SubtleEmphasis"/>
              </w:rPr>
            </w:pPr>
            <w:r w:rsidRPr="00BB306D">
              <w:rPr>
                <w:rStyle w:val="SubtleEmphasis"/>
              </w:rPr>
              <w:t>4</w:t>
            </w:r>
          </w:p>
        </w:tc>
      </w:tr>
      <w:tr w:rsidR="00FD04D4" w:rsidRPr="00FD04D4" w14:paraId="4A05D298" w14:textId="77777777" w:rsidTr="00C45A21">
        <w:tc>
          <w:tcPr>
            <w:tcW w:w="7584" w:type="dxa"/>
          </w:tcPr>
          <w:p w14:paraId="30CDF2E0" w14:textId="3FE86E5B" w:rsidR="00FD04D4" w:rsidRPr="00BB306D" w:rsidRDefault="000D4C30" w:rsidP="003D04B8">
            <w:pPr>
              <w:rPr>
                <w:rStyle w:val="SubtleEmphasis"/>
              </w:rPr>
            </w:pPr>
            <w:r w:rsidRPr="00BB306D">
              <w:rPr>
                <w:rStyle w:val="SubtleEmphasis"/>
              </w:rPr>
              <w:t xml:space="preserve">Fiscal Environment, </w:t>
            </w:r>
            <w:r w:rsidR="00FD04D4" w:rsidRPr="00BB306D">
              <w:rPr>
                <w:rStyle w:val="SubtleEmphasis"/>
              </w:rPr>
              <w:t>Budget Development Process</w:t>
            </w:r>
            <w:r w:rsidRPr="00BB306D">
              <w:rPr>
                <w:rStyle w:val="SubtleEmphasis"/>
              </w:rPr>
              <w:t>,</w:t>
            </w:r>
            <w:r w:rsidR="00FD04D4" w:rsidRPr="00BB306D">
              <w:rPr>
                <w:rStyle w:val="SubtleEmphasis"/>
              </w:rPr>
              <w:t xml:space="preserve"> </w:t>
            </w:r>
            <w:r w:rsidR="00C45A21" w:rsidRPr="00BB306D">
              <w:rPr>
                <w:rStyle w:val="SubtleEmphasis"/>
              </w:rPr>
              <w:t>a</w:t>
            </w:r>
            <w:r w:rsidR="00FD04D4" w:rsidRPr="00BB306D">
              <w:rPr>
                <w:rStyle w:val="SubtleEmphasis"/>
              </w:rPr>
              <w:t>nd Timelines</w:t>
            </w:r>
          </w:p>
        </w:tc>
        <w:tc>
          <w:tcPr>
            <w:tcW w:w="1766" w:type="dxa"/>
          </w:tcPr>
          <w:p w14:paraId="67EB5417" w14:textId="64BD3B15" w:rsidR="00FD04D4" w:rsidRPr="00BB306D" w:rsidRDefault="000D4C30" w:rsidP="003D04B8">
            <w:pPr>
              <w:rPr>
                <w:rStyle w:val="SubtleEmphasis"/>
              </w:rPr>
            </w:pPr>
            <w:r w:rsidRPr="00BB306D">
              <w:rPr>
                <w:rStyle w:val="SubtleEmphasis"/>
              </w:rPr>
              <w:t>6</w:t>
            </w:r>
          </w:p>
        </w:tc>
      </w:tr>
      <w:tr w:rsidR="00FD04D4" w:rsidRPr="00FD04D4" w14:paraId="2DB16311" w14:textId="77777777" w:rsidTr="00C45A21">
        <w:tc>
          <w:tcPr>
            <w:tcW w:w="7584" w:type="dxa"/>
          </w:tcPr>
          <w:p w14:paraId="5C6CDBB2" w14:textId="74874990" w:rsidR="00FD04D4" w:rsidRPr="00BB306D" w:rsidRDefault="003E783B" w:rsidP="003D04B8">
            <w:pPr>
              <w:rPr>
                <w:rStyle w:val="SubtleEmphasis"/>
              </w:rPr>
            </w:pPr>
            <w:r w:rsidRPr="00BB306D">
              <w:rPr>
                <w:rStyle w:val="SubtleEmphasis"/>
              </w:rPr>
              <w:t>2018/2019</w:t>
            </w:r>
            <w:r w:rsidR="00C45A21" w:rsidRPr="00BB306D">
              <w:rPr>
                <w:rStyle w:val="SubtleEmphasis"/>
              </w:rPr>
              <w:t xml:space="preserve"> Financial Update</w:t>
            </w:r>
          </w:p>
        </w:tc>
        <w:tc>
          <w:tcPr>
            <w:tcW w:w="1766" w:type="dxa"/>
          </w:tcPr>
          <w:p w14:paraId="57352AA2" w14:textId="5677F83C" w:rsidR="00FD04D4" w:rsidRPr="00BB306D" w:rsidRDefault="000D4C30" w:rsidP="003D04B8">
            <w:pPr>
              <w:rPr>
                <w:rStyle w:val="SubtleEmphasis"/>
              </w:rPr>
            </w:pPr>
            <w:r w:rsidRPr="00BB306D">
              <w:rPr>
                <w:rStyle w:val="SubtleEmphasis"/>
              </w:rPr>
              <w:t>11</w:t>
            </w:r>
          </w:p>
        </w:tc>
      </w:tr>
      <w:tr w:rsidR="00FD04D4" w:rsidRPr="00FD04D4" w14:paraId="041F0213" w14:textId="77777777" w:rsidTr="00C45A21">
        <w:tc>
          <w:tcPr>
            <w:tcW w:w="7584" w:type="dxa"/>
          </w:tcPr>
          <w:p w14:paraId="09325154" w14:textId="273DF3CF" w:rsidR="00FD04D4" w:rsidRPr="00BB306D" w:rsidRDefault="00C45A21" w:rsidP="003D04B8">
            <w:pPr>
              <w:rPr>
                <w:rStyle w:val="SubtleEmphasis"/>
              </w:rPr>
            </w:pPr>
            <w:r w:rsidRPr="00BB306D">
              <w:rPr>
                <w:rStyle w:val="SubtleEmphasis"/>
              </w:rPr>
              <w:t>Key Budget Assumptions</w:t>
            </w:r>
          </w:p>
        </w:tc>
        <w:tc>
          <w:tcPr>
            <w:tcW w:w="1766" w:type="dxa"/>
          </w:tcPr>
          <w:p w14:paraId="6A66C84C" w14:textId="4CBEF872" w:rsidR="00FD04D4" w:rsidRPr="00BB306D" w:rsidRDefault="00F15C47" w:rsidP="003D04B8">
            <w:pPr>
              <w:rPr>
                <w:rStyle w:val="SubtleEmphasis"/>
              </w:rPr>
            </w:pPr>
            <w:r w:rsidRPr="00BB306D">
              <w:rPr>
                <w:rStyle w:val="SubtleEmphasis"/>
              </w:rPr>
              <w:t>1</w:t>
            </w:r>
            <w:r w:rsidR="000D4C30" w:rsidRPr="00BB306D">
              <w:rPr>
                <w:rStyle w:val="SubtleEmphasis"/>
              </w:rPr>
              <w:t>4</w:t>
            </w:r>
          </w:p>
        </w:tc>
      </w:tr>
      <w:tr w:rsidR="00FD04D4" w:rsidRPr="00FD04D4" w14:paraId="7BB23C4D" w14:textId="77777777" w:rsidTr="00C45A21">
        <w:tc>
          <w:tcPr>
            <w:tcW w:w="7584" w:type="dxa"/>
          </w:tcPr>
          <w:p w14:paraId="349F4D0C" w14:textId="36CB3C08" w:rsidR="00FD04D4" w:rsidRPr="00BB306D" w:rsidRDefault="000D4C30" w:rsidP="003D04B8">
            <w:pPr>
              <w:rPr>
                <w:rStyle w:val="SubtleEmphasis"/>
              </w:rPr>
            </w:pPr>
            <w:r w:rsidRPr="00BB306D">
              <w:rPr>
                <w:rStyle w:val="SubtleEmphasis"/>
              </w:rPr>
              <w:t xml:space="preserve">Budget Strategies </w:t>
            </w:r>
            <w:r w:rsidR="00C45A21" w:rsidRPr="00BB306D">
              <w:rPr>
                <w:rStyle w:val="SubtleEmphasis"/>
              </w:rPr>
              <w:t>For 201</w:t>
            </w:r>
            <w:r w:rsidRPr="00BB306D">
              <w:rPr>
                <w:rStyle w:val="SubtleEmphasis"/>
              </w:rPr>
              <w:t>9</w:t>
            </w:r>
            <w:r w:rsidR="00C45A21" w:rsidRPr="00BB306D">
              <w:rPr>
                <w:rStyle w:val="SubtleEmphasis"/>
              </w:rPr>
              <w:t>/20</w:t>
            </w:r>
            <w:r w:rsidRPr="00BB306D">
              <w:rPr>
                <w:rStyle w:val="SubtleEmphasis"/>
              </w:rPr>
              <w:t>20</w:t>
            </w:r>
          </w:p>
        </w:tc>
        <w:tc>
          <w:tcPr>
            <w:tcW w:w="1766" w:type="dxa"/>
          </w:tcPr>
          <w:p w14:paraId="5E5B9D66" w14:textId="277483EF" w:rsidR="00FD04D4" w:rsidRPr="00BB306D" w:rsidRDefault="000D4C30" w:rsidP="003D04B8">
            <w:pPr>
              <w:rPr>
                <w:rStyle w:val="SubtleEmphasis"/>
              </w:rPr>
            </w:pPr>
            <w:r w:rsidRPr="00BB306D">
              <w:rPr>
                <w:rStyle w:val="SubtleEmphasis"/>
              </w:rPr>
              <w:t>22</w:t>
            </w:r>
          </w:p>
        </w:tc>
      </w:tr>
      <w:tr w:rsidR="00FD04D4" w:rsidRPr="00FD04D4" w14:paraId="2EFD7B6D" w14:textId="77777777" w:rsidTr="00C45A21">
        <w:tc>
          <w:tcPr>
            <w:tcW w:w="7584" w:type="dxa"/>
          </w:tcPr>
          <w:p w14:paraId="7FC0458A" w14:textId="7770B8CE" w:rsidR="00FD04D4" w:rsidRPr="00BB306D" w:rsidRDefault="00C45A21" w:rsidP="003D04B8">
            <w:pPr>
              <w:rPr>
                <w:rStyle w:val="SubtleEmphasis"/>
              </w:rPr>
            </w:pPr>
            <w:r w:rsidRPr="00BB306D">
              <w:rPr>
                <w:rStyle w:val="SubtleEmphasis"/>
              </w:rPr>
              <w:t>20</w:t>
            </w:r>
            <w:r w:rsidR="000D4C30" w:rsidRPr="00BB306D">
              <w:rPr>
                <w:rStyle w:val="SubtleEmphasis"/>
              </w:rPr>
              <w:t>19</w:t>
            </w:r>
            <w:r w:rsidRPr="00BB306D">
              <w:rPr>
                <w:rStyle w:val="SubtleEmphasis"/>
              </w:rPr>
              <w:t>/20</w:t>
            </w:r>
            <w:r w:rsidR="000D4C30" w:rsidRPr="00BB306D">
              <w:rPr>
                <w:rStyle w:val="SubtleEmphasis"/>
              </w:rPr>
              <w:t>20</w:t>
            </w:r>
            <w:r w:rsidRPr="00BB306D">
              <w:rPr>
                <w:rStyle w:val="SubtleEmphasis"/>
              </w:rPr>
              <w:t xml:space="preserve"> Operating Budget</w:t>
            </w:r>
          </w:p>
        </w:tc>
        <w:tc>
          <w:tcPr>
            <w:tcW w:w="1766" w:type="dxa"/>
          </w:tcPr>
          <w:p w14:paraId="0E38AACF" w14:textId="4C693711" w:rsidR="00FD04D4" w:rsidRPr="00BB306D" w:rsidRDefault="000D4C30" w:rsidP="003D04B8">
            <w:pPr>
              <w:rPr>
                <w:rStyle w:val="SubtleEmphasis"/>
              </w:rPr>
            </w:pPr>
            <w:r w:rsidRPr="00BB306D">
              <w:rPr>
                <w:rStyle w:val="SubtleEmphasis"/>
              </w:rPr>
              <w:t>27</w:t>
            </w:r>
          </w:p>
        </w:tc>
      </w:tr>
      <w:tr w:rsidR="00C45A21" w:rsidRPr="00FD04D4" w14:paraId="225CE3F7" w14:textId="77777777" w:rsidTr="00C45A21">
        <w:tc>
          <w:tcPr>
            <w:tcW w:w="7584" w:type="dxa"/>
          </w:tcPr>
          <w:p w14:paraId="40C93C1B" w14:textId="462A5F8D" w:rsidR="00C45A21" w:rsidRPr="00BB306D" w:rsidRDefault="000D4C30" w:rsidP="003D04B8">
            <w:pPr>
              <w:rPr>
                <w:rStyle w:val="SubtleEmphasis"/>
              </w:rPr>
            </w:pPr>
            <w:r w:rsidRPr="00BB306D">
              <w:rPr>
                <w:rStyle w:val="SubtleEmphasis"/>
              </w:rPr>
              <w:t>2019/2020 Ancillary Budget</w:t>
            </w:r>
          </w:p>
        </w:tc>
        <w:tc>
          <w:tcPr>
            <w:tcW w:w="1766" w:type="dxa"/>
          </w:tcPr>
          <w:p w14:paraId="03139C39" w14:textId="7FB602CE" w:rsidR="00C45A21" w:rsidRPr="00BB306D" w:rsidRDefault="00F15C47" w:rsidP="003D04B8">
            <w:pPr>
              <w:rPr>
                <w:rStyle w:val="SubtleEmphasis"/>
              </w:rPr>
            </w:pPr>
            <w:r w:rsidRPr="00BB306D">
              <w:rPr>
                <w:rStyle w:val="SubtleEmphasis"/>
              </w:rPr>
              <w:t>2</w:t>
            </w:r>
            <w:r w:rsidR="000D4C30" w:rsidRPr="00BB306D">
              <w:rPr>
                <w:rStyle w:val="SubtleEmphasis"/>
              </w:rPr>
              <w:t>9</w:t>
            </w:r>
          </w:p>
        </w:tc>
      </w:tr>
      <w:tr w:rsidR="00C45A21" w:rsidRPr="00FD04D4" w14:paraId="2E80EF05" w14:textId="77777777" w:rsidTr="00C45A21">
        <w:tc>
          <w:tcPr>
            <w:tcW w:w="7584" w:type="dxa"/>
          </w:tcPr>
          <w:p w14:paraId="34362687" w14:textId="73A490E0" w:rsidR="00C45A21" w:rsidRPr="00BB306D" w:rsidRDefault="000D4C30" w:rsidP="003D04B8">
            <w:pPr>
              <w:rPr>
                <w:rStyle w:val="SubtleEmphasis"/>
              </w:rPr>
            </w:pPr>
            <w:r w:rsidRPr="00BB306D">
              <w:rPr>
                <w:rStyle w:val="SubtleEmphasis"/>
              </w:rPr>
              <w:t>Capital Planning</w:t>
            </w:r>
            <w:r w:rsidR="00C45A21" w:rsidRPr="00BB306D">
              <w:rPr>
                <w:rStyle w:val="SubtleEmphasis"/>
              </w:rPr>
              <w:t xml:space="preserve"> </w:t>
            </w:r>
          </w:p>
        </w:tc>
        <w:tc>
          <w:tcPr>
            <w:tcW w:w="1766" w:type="dxa"/>
          </w:tcPr>
          <w:p w14:paraId="1C70CD4E" w14:textId="04572A51" w:rsidR="00C45A21" w:rsidRPr="00BB306D" w:rsidRDefault="000D4C30" w:rsidP="003D04B8">
            <w:pPr>
              <w:rPr>
                <w:rStyle w:val="SubtleEmphasis"/>
              </w:rPr>
            </w:pPr>
            <w:r w:rsidRPr="00BB306D">
              <w:rPr>
                <w:rStyle w:val="SubtleEmphasis"/>
              </w:rPr>
              <w:t>31</w:t>
            </w:r>
          </w:p>
        </w:tc>
      </w:tr>
      <w:tr w:rsidR="00C45A21" w:rsidRPr="00FD04D4" w14:paraId="02841B7B" w14:textId="77777777" w:rsidTr="00C45A21">
        <w:tc>
          <w:tcPr>
            <w:tcW w:w="7584" w:type="dxa"/>
          </w:tcPr>
          <w:p w14:paraId="24DA67FC" w14:textId="79B78040" w:rsidR="00C45A21" w:rsidRPr="00F15C47" w:rsidRDefault="00C45A21" w:rsidP="003D04B8">
            <w:pPr>
              <w:rPr>
                <w:rFonts w:ascii="Arial" w:hAnsi="Arial" w:cs="Arial"/>
                <w:color w:val="000000" w:themeColor="text1"/>
                <w:sz w:val="24"/>
                <w:szCs w:val="24"/>
              </w:rPr>
            </w:pPr>
          </w:p>
        </w:tc>
        <w:tc>
          <w:tcPr>
            <w:tcW w:w="1766" w:type="dxa"/>
          </w:tcPr>
          <w:p w14:paraId="69D3EEFC" w14:textId="48DB2400" w:rsidR="00C45A21" w:rsidRPr="000D4C30" w:rsidRDefault="00C45A21" w:rsidP="003D04B8">
            <w:pPr>
              <w:rPr>
                <w:rFonts w:ascii="Arial" w:hAnsi="Arial" w:cs="Arial"/>
                <w:color w:val="000000" w:themeColor="text1"/>
                <w:sz w:val="24"/>
                <w:szCs w:val="24"/>
              </w:rPr>
            </w:pPr>
          </w:p>
        </w:tc>
      </w:tr>
    </w:tbl>
    <w:p w14:paraId="4F7B81B9" w14:textId="04DD1705" w:rsidR="00FD04D4" w:rsidRPr="00FD04D4" w:rsidRDefault="00FD04D4" w:rsidP="003D04B8">
      <w:pPr>
        <w:rPr>
          <w:rFonts w:ascii="Arial" w:hAnsi="Arial" w:cs="Arial"/>
          <w:color w:val="000000" w:themeColor="text1"/>
          <w:sz w:val="24"/>
          <w:szCs w:val="24"/>
        </w:rPr>
      </w:pPr>
    </w:p>
    <w:p w14:paraId="016CC6E1" w14:textId="77777777" w:rsidR="00E67E5E" w:rsidRDefault="00E67E5E" w:rsidP="00E67E5E">
      <w:pPr>
        <w:autoSpaceDE w:val="0"/>
        <w:autoSpaceDN w:val="0"/>
        <w:adjustRightInd w:val="0"/>
        <w:rPr>
          <w:rFonts w:ascii="Arial" w:hAnsi="Arial" w:cs="Arial"/>
          <w:color w:val="000000" w:themeColor="text1"/>
          <w:sz w:val="24"/>
          <w:szCs w:val="24"/>
        </w:rPr>
      </w:pPr>
    </w:p>
    <w:p w14:paraId="067A785F" w14:textId="77777777" w:rsidR="00E67E5E" w:rsidRDefault="00E67E5E" w:rsidP="00E67E5E">
      <w:pPr>
        <w:autoSpaceDE w:val="0"/>
        <w:autoSpaceDN w:val="0"/>
        <w:adjustRightInd w:val="0"/>
        <w:rPr>
          <w:rFonts w:ascii="Arial" w:hAnsi="Arial" w:cs="Arial"/>
          <w:color w:val="000000" w:themeColor="text1"/>
          <w:sz w:val="24"/>
          <w:szCs w:val="24"/>
        </w:rPr>
      </w:pPr>
    </w:p>
    <w:p w14:paraId="7CAE8126" w14:textId="77777777" w:rsidR="00E67E5E" w:rsidRDefault="00E67E5E" w:rsidP="00E67E5E">
      <w:pPr>
        <w:autoSpaceDE w:val="0"/>
        <w:autoSpaceDN w:val="0"/>
        <w:adjustRightInd w:val="0"/>
        <w:rPr>
          <w:rFonts w:ascii="Arial" w:hAnsi="Arial" w:cs="Arial"/>
          <w:color w:val="000000" w:themeColor="text1"/>
          <w:sz w:val="24"/>
          <w:szCs w:val="24"/>
        </w:rPr>
      </w:pPr>
    </w:p>
    <w:p w14:paraId="2D81B422" w14:textId="77777777" w:rsidR="00E67E5E" w:rsidRDefault="00E67E5E" w:rsidP="00E67E5E">
      <w:pPr>
        <w:autoSpaceDE w:val="0"/>
        <w:autoSpaceDN w:val="0"/>
        <w:adjustRightInd w:val="0"/>
        <w:rPr>
          <w:rFonts w:ascii="Arial" w:hAnsi="Arial" w:cs="Arial"/>
          <w:color w:val="000000" w:themeColor="text1"/>
          <w:sz w:val="24"/>
          <w:szCs w:val="24"/>
        </w:rPr>
      </w:pPr>
    </w:p>
    <w:p w14:paraId="63030A30" w14:textId="77777777" w:rsidR="00E67E5E" w:rsidRDefault="00E67E5E" w:rsidP="00E67E5E">
      <w:pPr>
        <w:autoSpaceDE w:val="0"/>
        <w:autoSpaceDN w:val="0"/>
        <w:adjustRightInd w:val="0"/>
        <w:rPr>
          <w:rFonts w:ascii="Arial" w:hAnsi="Arial" w:cs="Arial"/>
          <w:color w:val="000000" w:themeColor="text1"/>
          <w:sz w:val="24"/>
          <w:szCs w:val="24"/>
        </w:rPr>
      </w:pPr>
    </w:p>
    <w:p w14:paraId="5E2D9E4C" w14:textId="77777777" w:rsidR="00E67E5E" w:rsidRDefault="00E67E5E" w:rsidP="00E67E5E">
      <w:pPr>
        <w:autoSpaceDE w:val="0"/>
        <w:autoSpaceDN w:val="0"/>
        <w:adjustRightInd w:val="0"/>
        <w:rPr>
          <w:rFonts w:ascii="Arial" w:hAnsi="Arial" w:cs="Arial"/>
          <w:color w:val="000000" w:themeColor="text1"/>
          <w:sz w:val="24"/>
          <w:szCs w:val="24"/>
        </w:rPr>
      </w:pPr>
    </w:p>
    <w:p w14:paraId="10AA3F56" w14:textId="77777777" w:rsidR="00E67E5E" w:rsidRDefault="00E67E5E" w:rsidP="00E67E5E">
      <w:pPr>
        <w:autoSpaceDE w:val="0"/>
        <w:autoSpaceDN w:val="0"/>
        <w:adjustRightInd w:val="0"/>
        <w:rPr>
          <w:rFonts w:ascii="Arial" w:hAnsi="Arial" w:cs="Arial"/>
          <w:color w:val="000000" w:themeColor="text1"/>
          <w:sz w:val="24"/>
          <w:szCs w:val="24"/>
        </w:rPr>
      </w:pPr>
    </w:p>
    <w:p w14:paraId="07CF2F0B" w14:textId="77777777" w:rsidR="00E67E5E" w:rsidRDefault="00E67E5E" w:rsidP="00E67E5E">
      <w:pPr>
        <w:autoSpaceDE w:val="0"/>
        <w:autoSpaceDN w:val="0"/>
        <w:adjustRightInd w:val="0"/>
        <w:rPr>
          <w:rFonts w:ascii="Arial" w:hAnsi="Arial" w:cs="Arial"/>
          <w:color w:val="000000" w:themeColor="text1"/>
          <w:sz w:val="24"/>
          <w:szCs w:val="24"/>
        </w:rPr>
      </w:pPr>
    </w:p>
    <w:p w14:paraId="3A939C7D" w14:textId="77777777" w:rsidR="00E67E5E" w:rsidRDefault="00E67E5E" w:rsidP="00E67E5E">
      <w:pPr>
        <w:autoSpaceDE w:val="0"/>
        <w:autoSpaceDN w:val="0"/>
        <w:adjustRightInd w:val="0"/>
        <w:rPr>
          <w:rFonts w:ascii="Arial" w:hAnsi="Arial" w:cs="Arial"/>
          <w:color w:val="000000" w:themeColor="text1"/>
          <w:sz w:val="24"/>
          <w:szCs w:val="24"/>
        </w:rPr>
      </w:pPr>
    </w:p>
    <w:p w14:paraId="02433FFA" w14:textId="77777777" w:rsidR="00E67E5E" w:rsidRDefault="00E67E5E" w:rsidP="00E67E5E">
      <w:pPr>
        <w:autoSpaceDE w:val="0"/>
        <w:autoSpaceDN w:val="0"/>
        <w:adjustRightInd w:val="0"/>
        <w:rPr>
          <w:rFonts w:ascii="Arial" w:hAnsi="Arial" w:cs="Arial"/>
          <w:color w:val="000000" w:themeColor="text1"/>
          <w:sz w:val="24"/>
          <w:szCs w:val="24"/>
        </w:rPr>
      </w:pPr>
    </w:p>
    <w:p w14:paraId="5C21EB2E" w14:textId="77777777" w:rsidR="00E67E5E" w:rsidRDefault="00E67E5E" w:rsidP="00E67E5E">
      <w:pPr>
        <w:autoSpaceDE w:val="0"/>
        <w:autoSpaceDN w:val="0"/>
        <w:adjustRightInd w:val="0"/>
        <w:rPr>
          <w:rFonts w:ascii="Arial" w:hAnsi="Arial" w:cs="Arial"/>
          <w:color w:val="000000" w:themeColor="text1"/>
          <w:sz w:val="24"/>
          <w:szCs w:val="24"/>
        </w:rPr>
      </w:pPr>
    </w:p>
    <w:p w14:paraId="2F617D7D" w14:textId="68FA0F18" w:rsidR="00F11AB3" w:rsidRPr="00E67E5E" w:rsidRDefault="00F11AB3" w:rsidP="00E67E5E">
      <w:pPr>
        <w:pStyle w:val="Heading1"/>
        <w:rPr>
          <w:rFonts w:ascii="Arial" w:hAnsi="Arial" w:cs="Arial"/>
          <w:b/>
          <w:bCs/>
          <w:color w:val="385623" w:themeColor="accent6" w:themeShade="80"/>
          <w:sz w:val="24"/>
          <w:szCs w:val="24"/>
        </w:rPr>
      </w:pPr>
      <w:r w:rsidRPr="00E67E5E">
        <w:rPr>
          <w:b/>
          <w:bCs/>
          <w:color w:val="385623" w:themeColor="accent6" w:themeShade="80"/>
        </w:rPr>
        <w:lastRenderedPageBreak/>
        <w:t>FOREWORD</w:t>
      </w:r>
    </w:p>
    <w:p w14:paraId="4A17FF4C" w14:textId="77777777" w:rsidR="00F11AB3" w:rsidRDefault="00F11AB3" w:rsidP="00F11AB3">
      <w:pPr>
        <w:autoSpaceDE w:val="0"/>
        <w:autoSpaceDN w:val="0"/>
        <w:adjustRightInd w:val="0"/>
        <w:jc w:val="center"/>
        <w:rPr>
          <w:rFonts w:ascii="Arial" w:hAnsi="Arial" w:cs="Arial"/>
          <w:b/>
          <w:sz w:val="24"/>
          <w:szCs w:val="24"/>
        </w:rPr>
      </w:pPr>
    </w:p>
    <w:p w14:paraId="39215EA9" w14:textId="6E7B4D1F" w:rsidR="00F11AB3" w:rsidRPr="00B62E79" w:rsidRDefault="00F11AB3" w:rsidP="00BB306D">
      <w:r w:rsidRPr="00B62E79">
        <w:t xml:space="preserve">This report is intended to provide a comprehensive review and summary of the process, consultations, and results of the Trent University </w:t>
      </w:r>
      <w:r w:rsidR="00B07096">
        <w:t>201</w:t>
      </w:r>
      <w:r w:rsidR="00A44140">
        <w:t>9</w:t>
      </w:r>
      <w:r w:rsidR="00B07096">
        <w:t>/20</w:t>
      </w:r>
      <w:r w:rsidR="00A44140">
        <w:t>20</w:t>
      </w:r>
      <w:r w:rsidRPr="00B62E79">
        <w:t xml:space="preserve"> Operating Budget.</w:t>
      </w:r>
    </w:p>
    <w:p w14:paraId="3EFC3BD8" w14:textId="0B4AA357" w:rsidR="00F11AB3" w:rsidRPr="00B62E79" w:rsidRDefault="00F11AB3" w:rsidP="00BB306D">
      <w:r w:rsidRPr="00B62E79">
        <w:t>Trent’s administration has attempted to pursue a budget development process that enhances the degree of transparency, communication and input of all constituencies of the Universi</w:t>
      </w:r>
      <w:r w:rsidR="008B6A6D">
        <w:t xml:space="preserve">ty community.  </w:t>
      </w:r>
      <w:r w:rsidRPr="00B62E79">
        <w:t>This report attempts to capture the key elements and content of the development process, including consultation outcomes and specific impacts of budget decisions on the various academic and non-academic units of the University.</w:t>
      </w:r>
    </w:p>
    <w:p w14:paraId="61A0312C" w14:textId="4968E47F" w:rsidR="00F11AB3" w:rsidRPr="00B62E79" w:rsidRDefault="00F11AB3" w:rsidP="00BB306D">
      <w:r w:rsidRPr="00B62E79">
        <w:t>It is our intention to produce a summary report annually, and circulate it widely, in order that the budget and underlying program activity of the University can be better understood and assessed.</w:t>
      </w:r>
    </w:p>
    <w:p w14:paraId="4EE76B76" w14:textId="5812B633" w:rsidR="00F11AB3" w:rsidRPr="00B62E79" w:rsidRDefault="00F11AB3" w:rsidP="00BB306D">
      <w:r w:rsidRPr="00B62E79">
        <w:t>Your comments and feedback are welcome.</w:t>
      </w:r>
    </w:p>
    <w:p w14:paraId="1F12665C" w14:textId="77777777" w:rsidR="00F11AB3" w:rsidRPr="00B62E79" w:rsidRDefault="00F11AB3" w:rsidP="00BB306D"/>
    <w:p w14:paraId="1FED9EC2" w14:textId="77777777" w:rsidR="00F11AB3" w:rsidRPr="00B62E79" w:rsidRDefault="00F11AB3" w:rsidP="00BB306D"/>
    <w:p w14:paraId="79F028F4" w14:textId="439031BC" w:rsidR="00F11AB3" w:rsidRPr="00B62E79" w:rsidRDefault="00F11AB3" w:rsidP="00BB306D">
      <w:r w:rsidRPr="00B62E79">
        <w:t>Steven Pillar, Vice President, Finance and Administration</w:t>
      </w:r>
    </w:p>
    <w:p w14:paraId="0D60067D" w14:textId="225B9138" w:rsidR="00F11AB3" w:rsidRPr="00B62E79" w:rsidRDefault="00F11AB3" w:rsidP="00BB306D">
      <w:r>
        <w:t>Jacqueline Muldoon</w:t>
      </w:r>
      <w:r w:rsidRPr="00B62E79">
        <w:t>, Provost and Vice President, Academic</w:t>
      </w:r>
    </w:p>
    <w:p w14:paraId="37E5A7FA" w14:textId="77777777" w:rsidR="00F11AB3" w:rsidRPr="00B62E79" w:rsidRDefault="00B07096" w:rsidP="00BB306D">
      <w:r>
        <w:t>Cheryl Turk</w:t>
      </w:r>
      <w:r w:rsidR="00F11AB3" w:rsidRPr="00B62E79">
        <w:t>, Associate Vice President, Financ</w:t>
      </w:r>
      <w:r w:rsidR="00F11AB3">
        <w:t>e</w:t>
      </w:r>
    </w:p>
    <w:p w14:paraId="0069EF00" w14:textId="2A05BCCA" w:rsidR="00E13610" w:rsidRDefault="00F11AB3" w:rsidP="003D04B8">
      <w:pPr>
        <w:pStyle w:val="Heading1"/>
        <w:rPr>
          <w:b/>
          <w:bCs/>
          <w:color w:val="385623" w:themeColor="accent6" w:themeShade="80"/>
        </w:rPr>
      </w:pPr>
      <w:r w:rsidRPr="00B62E79">
        <w:br w:type="page"/>
      </w:r>
      <w:r w:rsidR="00E13610" w:rsidRPr="003D04B8">
        <w:rPr>
          <w:b/>
          <w:bCs/>
          <w:color w:val="385623" w:themeColor="accent6" w:themeShade="80"/>
        </w:rPr>
        <w:lastRenderedPageBreak/>
        <w:t>EXECUTIVE SUMMARY</w:t>
      </w:r>
    </w:p>
    <w:p w14:paraId="3928606F" w14:textId="77777777" w:rsidR="003D04B8" w:rsidRPr="003D04B8" w:rsidRDefault="003D04B8" w:rsidP="003D04B8"/>
    <w:p w14:paraId="04043A8C" w14:textId="68806613" w:rsidR="00FE1338" w:rsidRPr="00193F69" w:rsidRDefault="00FE1338" w:rsidP="00BB306D">
      <w:r w:rsidRPr="00193F69">
        <w:t xml:space="preserve">The budget planning process for fiscal 2019/2020 began in October 2018 with 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p>
    <w:p w14:paraId="614B7C48" w14:textId="79D3ABDA" w:rsidR="009D4B3E" w:rsidRPr="00DD1F24" w:rsidRDefault="001C25AE" w:rsidP="00BB306D">
      <w:r w:rsidRPr="00DD1F24">
        <w:t>Trent’s student popu</w:t>
      </w:r>
      <w:r w:rsidR="00FE1338" w:rsidRPr="00DD1F24">
        <w:t>lation gr</w:t>
      </w:r>
      <w:r w:rsidR="00DD1F24">
        <w:t>e</w:t>
      </w:r>
      <w:r w:rsidR="00FE1338" w:rsidRPr="00DD1F24">
        <w:t xml:space="preserve">w </w:t>
      </w:r>
      <w:r w:rsidR="00DD1F24">
        <w:t xml:space="preserve">to 9,650 full time equivalents (FTEs) </w:t>
      </w:r>
      <w:r w:rsidR="00FE1338" w:rsidRPr="00DD1F24">
        <w:t>in 2018</w:t>
      </w:r>
      <w:r w:rsidRPr="00DD1F24">
        <w:t>/201</w:t>
      </w:r>
      <w:r w:rsidR="00FE1338" w:rsidRPr="00DD1F24">
        <w:t>9</w:t>
      </w:r>
      <w:r w:rsidRPr="00DD1F24">
        <w:t>,</w:t>
      </w:r>
      <w:r w:rsidR="00DD1F24" w:rsidRPr="00DD1F24">
        <w:rPr>
          <w:color w:val="000000" w:themeColor="text1"/>
        </w:rPr>
        <w:t xml:space="preserve"> </w:t>
      </w:r>
      <w:r w:rsidR="00DD1F24">
        <w:rPr>
          <w:color w:val="000000" w:themeColor="text1"/>
        </w:rPr>
        <w:t>an increase of 4.3% over the budget, a 7.7% increase from 2017/2018, and 15.5% growth from the 2016/2017 Ministry-funded corridor mid-point</w:t>
      </w:r>
      <w:r w:rsidR="00DD1F24" w:rsidRPr="00DD1F24">
        <w:t>.  At the time of Board approval of the 2019/2020 Operating Plan, the University was anticipating an operating surplus of $4.7 million as a result of increased enrolment-based revenue.  While the</w:t>
      </w:r>
      <w:r w:rsidR="00FE1338" w:rsidRPr="00DD1F24">
        <w:t xml:space="preserve"> enrolment growth resulted in increased tuition revenue net of student financial aid and scholarships</w:t>
      </w:r>
      <w:r w:rsidR="00DD1F24" w:rsidRPr="00DD1F24">
        <w:t>,</w:t>
      </w:r>
      <w:r w:rsidR="00FE1338" w:rsidRPr="00DD1F24">
        <w:t xml:space="preserve"> the </w:t>
      </w:r>
      <w:r w:rsidR="00DD1F24">
        <w:t xml:space="preserve">enrolment growth since </w:t>
      </w:r>
      <w:r w:rsidR="00DD1F24" w:rsidRPr="00DD1F24">
        <w:t xml:space="preserve">2016/2017 </w:t>
      </w:r>
      <w:r w:rsidR="00FE1338" w:rsidRPr="00DD1F24">
        <w:t>has not yet been funded for</w:t>
      </w:r>
      <w:r w:rsidR="00DD1F24" w:rsidRPr="00DD1F24">
        <w:t xml:space="preserve"> 2018/2019.  Therefore, the University experienced an operating deficit of $1.5 million </w:t>
      </w:r>
      <w:r w:rsidR="00DD1F24">
        <w:t xml:space="preserve">(before pension actuarial and fair value adjustments) </w:t>
      </w:r>
      <w:r w:rsidR="00DD1F24" w:rsidRPr="00DD1F24">
        <w:t>for the fiscal year.</w:t>
      </w:r>
    </w:p>
    <w:p w14:paraId="2AA9E0C9" w14:textId="6551290E" w:rsidR="00B763DD" w:rsidRDefault="00B763DD" w:rsidP="00BB306D">
      <w:pPr>
        <w:rPr>
          <w:rFonts w:eastAsia="Calibri"/>
          <w:lang w:eastAsia="en-US"/>
        </w:rPr>
      </w:pPr>
      <w:r>
        <w:rPr>
          <w:rFonts w:eastAsia="Calibri"/>
          <w:lang w:eastAsia="en-US"/>
        </w:rPr>
        <w:t xml:space="preserve">In January 2019, the Ministry announced a mandatory reduction of 10% to eligible tuition rates from 2018/2019 levels effective for the 2019/2020 academic year.  Trent estimated the impact of this announcement to be a loss of $8.2 million for 2019/2020.  In April 2019, the Ministry revealed plans to tie future funding to labour market outcomes with 25% of funding tied to performance outcomes in 2020/2021 growing to 60% of funding in 2024/2025.  In the interim, it does not appear there will be major changes to the funding model for 2019/2020.  However, </w:t>
      </w:r>
      <w:r w:rsidR="001572C7">
        <w:rPr>
          <w:rFonts w:eastAsia="Calibri"/>
          <w:lang w:eastAsia="en-US"/>
        </w:rPr>
        <w:t xml:space="preserve">funding for the </w:t>
      </w:r>
      <w:r>
        <w:rPr>
          <w:rFonts w:eastAsia="Calibri"/>
          <w:lang w:eastAsia="en-US"/>
        </w:rPr>
        <w:t xml:space="preserve">anticipated </w:t>
      </w:r>
      <w:r w:rsidR="00FD3606">
        <w:rPr>
          <w:rFonts w:eastAsia="Calibri"/>
          <w:lang w:eastAsia="en-US"/>
        </w:rPr>
        <w:t xml:space="preserve">further </w:t>
      </w:r>
      <w:r>
        <w:rPr>
          <w:rFonts w:eastAsia="Calibri"/>
          <w:lang w:eastAsia="en-US"/>
        </w:rPr>
        <w:t xml:space="preserve">enrolment growth of </w:t>
      </w:r>
      <w:r w:rsidR="001572C7">
        <w:rPr>
          <w:rFonts w:eastAsia="Calibri"/>
          <w:lang w:eastAsia="en-US"/>
        </w:rPr>
        <w:t>3.3% to 9,970 FTEs in 2019/2020 (19.3% increase from the 2016/2017 corridor mid-point) remains unconfirmed.</w:t>
      </w:r>
    </w:p>
    <w:p w14:paraId="3EFB50D0" w14:textId="28339912" w:rsidR="001572C7" w:rsidRDefault="00B763DD" w:rsidP="00BB306D">
      <w:r>
        <w:rPr>
          <w:rFonts w:eastAsia="Calibri"/>
          <w:lang w:eastAsia="en-US"/>
        </w:rPr>
        <w:t xml:space="preserve">Due to the fiscal uncertainty, budget owners were requested to identify strategies required to mitigate a 5% reduction in departmental budgets.  Ancillary services were also expected to make proposals to increase their contributions </w:t>
      </w:r>
      <w:r w:rsidR="001572C7">
        <w:rPr>
          <w:rFonts w:eastAsia="Calibri"/>
          <w:lang w:eastAsia="en-US"/>
        </w:rPr>
        <w:t xml:space="preserve">to the operating budget by 5%.  </w:t>
      </w:r>
      <w:r w:rsidR="001572C7">
        <w:t xml:space="preserve">New strategic investment proposals needed to address student enrolment growth or in response to legislative compliance requirements or being put forward as efficiency measures were also to be identified.  </w:t>
      </w:r>
    </w:p>
    <w:p w14:paraId="09696B5E" w14:textId="5D37D794" w:rsidR="001572C7" w:rsidRDefault="001572C7" w:rsidP="00BB306D">
      <w:r w:rsidRPr="001572C7">
        <w:t>All presentations and proposals were carefully reviewed by the President and Vice-Presidents.  For</w:t>
      </w:r>
      <w:r>
        <w:t xml:space="preserve"> budget reduction proposals, they </w:t>
      </w:r>
      <w:proofErr w:type="gramStart"/>
      <w:r>
        <w:t>gave</w:t>
      </w:r>
      <w:r w:rsidRPr="00193F69">
        <w:t xml:space="preserve"> careful consideration </w:t>
      </w:r>
      <w:r>
        <w:t>to</w:t>
      </w:r>
      <w:proofErr w:type="gramEnd"/>
      <w:r>
        <w:t xml:space="preserve"> strategies that minimized the impact to students</w:t>
      </w:r>
      <w:r w:rsidR="0026354B">
        <w:t xml:space="preserve"> and to </w:t>
      </w:r>
      <w:r w:rsidR="00156618">
        <w:t>staff and</w:t>
      </w:r>
      <w:r>
        <w:t xml:space="preserve"> did not compromise quality of programs and services.  For strategic investments, particular attention was given </w:t>
      </w:r>
      <w:r w:rsidRPr="00193F69">
        <w:t xml:space="preserve">to current needs </w:t>
      </w:r>
      <w:r>
        <w:t xml:space="preserve">that addressed student enrolment growth </w:t>
      </w:r>
      <w:r w:rsidRPr="00193F69">
        <w:t>and longer</w:t>
      </w:r>
      <w:r>
        <w:t>-</w:t>
      </w:r>
      <w:r w:rsidRPr="00193F69">
        <w:t>term impact on the allocation of resources as well as alignment with the University’s strategic plans.  The RCM model was also used as a guiding principle for decision making when prioritizing and recommending strategic investments.</w:t>
      </w:r>
    </w:p>
    <w:p w14:paraId="518D69A3" w14:textId="425631D1" w:rsidR="009749B6" w:rsidRDefault="009749B6" w:rsidP="009749B6">
      <w:pPr>
        <w:spacing w:after="240"/>
        <w:jc w:val="both"/>
        <w:rPr>
          <w:rFonts w:ascii="Arial" w:hAnsi="Arial" w:cs="Arial"/>
          <w:sz w:val="24"/>
          <w:szCs w:val="24"/>
        </w:rPr>
      </w:pPr>
      <w:r w:rsidRPr="00BB306D">
        <w:t xml:space="preserve">The preliminary 2019/2020 Operating Budget before budget reduction strategies or strategic investments projected a shortfall of $4.3 million. The anticipated shortfall despite estimated enrolment growth funding </w:t>
      </w:r>
      <w:r w:rsidRPr="00BB306D">
        <w:lastRenderedPageBreak/>
        <w:t>was primarily due to the loss of tuition fees revenue related to the Ministry-mandated tuition fee reduction</w:t>
      </w:r>
      <w:r>
        <w:rPr>
          <w:rFonts w:ascii="Arial" w:hAnsi="Arial" w:cs="Arial"/>
          <w:sz w:val="24"/>
          <w:szCs w:val="24"/>
        </w:rPr>
        <w:t xml:space="preserve">.  </w:t>
      </w:r>
    </w:p>
    <w:p w14:paraId="1A85C62F" w14:textId="4BB21CFC" w:rsidR="009749B6" w:rsidRDefault="009749B6" w:rsidP="00BB306D">
      <w:r>
        <w:t xml:space="preserve">The approved budget reductions strategies of $5.450 million focussed on </w:t>
      </w:r>
      <w:r w:rsidR="00FD3606">
        <w:t>assessing</w:t>
      </w:r>
      <w:r>
        <w:t xml:space="preserve"> limited-term appointments and course offerings, reducing vacant positions, </w:t>
      </w:r>
      <w:r w:rsidR="00FD3606">
        <w:t>reviewing non-instructional staffing complements, finding efficiencies in non-staffing budgets, and increasing revenue and/or cost recoveries.</w:t>
      </w:r>
    </w:p>
    <w:p w14:paraId="59567AFB" w14:textId="2E684779" w:rsidR="009749B6" w:rsidRPr="00193F69" w:rsidRDefault="00FD3606" w:rsidP="00BB306D">
      <w:r>
        <w:t>After factoring in the above budget reduction strategies</w:t>
      </w:r>
      <w:r w:rsidRPr="002B1B26">
        <w:t xml:space="preserve">, </w:t>
      </w:r>
      <w:r>
        <w:t xml:space="preserve">the University is anticipating a small surplus (assuming enrolment growth funding </w:t>
      </w:r>
      <w:r w:rsidR="000D4C30">
        <w:t xml:space="preserve">for 2019/2020 </w:t>
      </w:r>
      <w:r>
        <w:t xml:space="preserve">is confirmed), </w:t>
      </w:r>
      <w:r w:rsidRPr="002B1B26">
        <w:t xml:space="preserve">providing the University with an opportunity to make new strategic investments in response to increasing student enrolment.  </w:t>
      </w:r>
      <w:r>
        <w:t xml:space="preserve">The approved net new strategic investments of $735,000 </w:t>
      </w:r>
      <w:r w:rsidRPr="002B1B26">
        <w:t xml:space="preserve">focus on increases in resources required to teach and support increased student enrolment and the development of new academic programs.  </w:t>
      </w:r>
    </w:p>
    <w:p w14:paraId="764027C6" w14:textId="77777777" w:rsidR="00FE1338" w:rsidRDefault="00FE1338" w:rsidP="00BB306D">
      <w:r w:rsidRPr="007A54D7">
        <w:t xml:space="preserve">As a result of the approved budget reduction strategies and the net new strategic investments, the 2019/2020 Operating Budget projects a modest annual surplus of $435,000.  </w:t>
      </w:r>
      <w:r w:rsidRPr="001104B2">
        <w:rPr>
          <w:b/>
        </w:rPr>
        <w:t>This projection assumes growth in student enrolment will be funded.</w:t>
      </w:r>
      <w:r w:rsidRPr="007A54D7">
        <w:t xml:space="preserve">  This operating plan was approved by the Board of Governors on May 10, 2019.</w:t>
      </w:r>
    </w:p>
    <w:p w14:paraId="2B72020C" w14:textId="1511EBD5" w:rsidR="00E13610" w:rsidRPr="00831DDB" w:rsidRDefault="00E13610" w:rsidP="00BB306D">
      <w:pPr>
        <w:rPr>
          <w:b/>
          <w:color w:val="003300"/>
        </w:rPr>
      </w:pPr>
      <w:r w:rsidRPr="00FE1338">
        <w:t>Further details of the 201</w:t>
      </w:r>
      <w:r w:rsidR="002C1FE6">
        <w:t>9</w:t>
      </w:r>
      <w:r w:rsidRPr="00FE1338">
        <w:t>/20</w:t>
      </w:r>
      <w:r w:rsidR="002C1FE6">
        <w:t>20</w:t>
      </w:r>
      <w:r w:rsidRPr="00FE1338">
        <w:t xml:space="preserve"> budget process, major assumptions, </w:t>
      </w:r>
      <w:r w:rsidR="00FE1338" w:rsidRPr="00FE1338">
        <w:t xml:space="preserve">budget reduction strategies, </w:t>
      </w:r>
      <w:r w:rsidRPr="00FE1338">
        <w:t xml:space="preserve">new </w:t>
      </w:r>
      <w:r w:rsidR="00FE1338" w:rsidRPr="00FE1338">
        <w:t xml:space="preserve">strategic </w:t>
      </w:r>
      <w:r w:rsidRPr="00FE1338">
        <w:t>investments and projected surplus are provided in this report.</w:t>
      </w:r>
      <w:r w:rsidRPr="00831DDB">
        <w:rPr>
          <w:b/>
          <w:color w:val="003300"/>
        </w:rPr>
        <w:br w:type="page"/>
      </w:r>
    </w:p>
    <w:p w14:paraId="4FC54A05" w14:textId="5F5A0180" w:rsidR="00B07096" w:rsidRPr="003D04B8" w:rsidRDefault="005A7AC2" w:rsidP="003D04B8">
      <w:pPr>
        <w:pStyle w:val="Heading1"/>
        <w:rPr>
          <w:b/>
          <w:bCs/>
          <w:color w:val="385623" w:themeColor="accent6" w:themeShade="80"/>
        </w:rPr>
      </w:pPr>
      <w:r w:rsidRPr="003D04B8">
        <w:rPr>
          <w:b/>
          <w:bCs/>
          <w:color w:val="385623" w:themeColor="accent6" w:themeShade="80"/>
        </w:rPr>
        <w:lastRenderedPageBreak/>
        <w:t>FISCAL ENVIRONMENT</w:t>
      </w:r>
      <w:r w:rsidR="00016182" w:rsidRPr="003D04B8">
        <w:rPr>
          <w:b/>
          <w:bCs/>
          <w:color w:val="385623" w:themeColor="accent6" w:themeShade="80"/>
        </w:rPr>
        <w:t>,</w:t>
      </w:r>
    </w:p>
    <w:p w14:paraId="79736329" w14:textId="23CD8BDB" w:rsidR="00016182" w:rsidRDefault="00016182" w:rsidP="003D04B8">
      <w:pPr>
        <w:pStyle w:val="Heading1"/>
        <w:rPr>
          <w:b/>
          <w:bCs/>
          <w:color w:val="385623" w:themeColor="accent6" w:themeShade="80"/>
        </w:rPr>
      </w:pPr>
      <w:r w:rsidRPr="003D04B8">
        <w:rPr>
          <w:b/>
          <w:bCs/>
          <w:color w:val="385623" w:themeColor="accent6" w:themeShade="80"/>
        </w:rPr>
        <w:t>BUDGET DEVELOPMENT PROCESS,</w:t>
      </w:r>
      <w:r w:rsidR="00E67E5E">
        <w:rPr>
          <w:b/>
          <w:bCs/>
          <w:color w:val="385623" w:themeColor="accent6" w:themeShade="80"/>
        </w:rPr>
        <w:t xml:space="preserve"> </w:t>
      </w:r>
      <w:r w:rsidRPr="003D04B8">
        <w:rPr>
          <w:b/>
          <w:bCs/>
          <w:color w:val="385623" w:themeColor="accent6" w:themeShade="80"/>
        </w:rPr>
        <w:t>AND TIMELINES</w:t>
      </w:r>
    </w:p>
    <w:p w14:paraId="28F12E3E" w14:textId="77777777" w:rsidR="003D04B8" w:rsidRPr="003D04B8" w:rsidRDefault="003D04B8" w:rsidP="003D04B8"/>
    <w:p w14:paraId="78C15A63" w14:textId="403D1CED" w:rsidR="005A7AC2" w:rsidRDefault="005A7AC2" w:rsidP="00BB306D">
      <w:r w:rsidRPr="00193F69">
        <w:t xml:space="preserve">The budget planning process for fiscal 2019/2020 began in October 2018 with discussions with various groups in the University community regarding the </w:t>
      </w:r>
      <w:r>
        <w:t xml:space="preserve">current fiscal environment, the budget </w:t>
      </w:r>
      <w:r w:rsidRPr="00193F69">
        <w:t xml:space="preserve">process, </w:t>
      </w:r>
      <w:r>
        <w:t xml:space="preserve">and </w:t>
      </w:r>
      <w:r w:rsidRPr="00193F69">
        <w:t xml:space="preserve">timelines.  </w:t>
      </w:r>
    </w:p>
    <w:p w14:paraId="038B92EF" w14:textId="77777777" w:rsidR="00E67E5E" w:rsidRPr="00193F69" w:rsidRDefault="00E67E5E" w:rsidP="00BB306D"/>
    <w:p w14:paraId="5EB57C7A" w14:textId="4DCD518F" w:rsidR="004D4A75" w:rsidRDefault="001C1C5E" w:rsidP="003D04B8">
      <w:pPr>
        <w:pStyle w:val="Heading2"/>
        <w:rPr>
          <w:b/>
          <w:bCs/>
          <w:color w:val="5B9BD5" w:themeColor="accent1"/>
        </w:rPr>
      </w:pPr>
      <w:r w:rsidRPr="00715AE0">
        <w:rPr>
          <w:b/>
          <w:bCs/>
        </w:rPr>
        <w:t>Fiscal Environment</w:t>
      </w:r>
    </w:p>
    <w:p w14:paraId="58BEB576" w14:textId="77777777" w:rsidR="003D04B8" w:rsidRPr="003D04B8" w:rsidRDefault="003D04B8" w:rsidP="003D04B8"/>
    <w:p w14:paraId="306E3A70" w14:textId="278334CB" w:rsidR="00193F69" w:rsidRDefault="00193F69" w:rsidP="00BB306D">
      <w:r w:rsidRPr="00193F69">
        <w:t xml:space="preserve">The Fall Economic Statement released November 15, </w:t>
      </w:r>
      <w:r w:rsidR="00156618" w:rsidRPr="00193F69">
        <w:t>2018,</w:t>
      </w:r>
      <w:r w:rsidRPr="00193F69">
        <w:t xml:space="preserve"> focused largely on the government’s commitment to balancing the provincial budget and reducing Ontario’s debt burden, while also highlighting the importance of trust, transparency, accountability and affordability.  The government </w:t>
      </w:r>
      <w:r>
        <w:t>continues to</w:t>
      </w:r>
      <w:r w:rsidRPr="00193F69">
        <w:t xml:space="preserve"> review all programs and ministries to ensure “relevance and best value for taxpayers”.  Efficiencies and reductions in expenditures are expected across all sectors.  “Everyone in Ontario will be required to make sacrifices, without exception.”</w:t>
      </w:r>
      <w:r w:rsidR="00C24ECF">
        <w:t xml:space="preserve">  </w:t>
      </w:r>
    </w:p>
    <w:p w14:paraId="4F726AE6" w14:textId="0915B2B5" w:rsidR="0089534A" w:rsidRDefault="00C24ECF" w:rsidP="00BB306D">
      <w:pPr>
        <w:rPr>
          <w:rFonts w:eastAsia="Calibri"/>
          <w:lang w:eastAsia="en-US"/>
        </w:rPr>
      </w:pPr>
      <w:r>
        <w:t xml:space="preserve">In December 2018 </w:t>
      </w:r>
      <w:r w:rsidR="0089534A">
        <w:t>when</w:t>
      </w:r>
      <w:r>
        <w:t xml:space="preserve"> </w:t>
      </w:r>
      <w:r w:rsidR="00323422">
        <w:t xml:space="preserve">departmental </w:t>
      </w:r>
      <w:r>
        <w:t>budget planning commenced, the Ministry had not provided any details on potential changes for the university sector.  Universities were anticipating double-digit cuts to funding, but the amo</w:t>
      </w:r>
      <w:r w:rsidR="009936BE">
        <w:t>u</w:t>
      </w:r>
      <w:r>
        <w:t xml:space="preserve">nt and form of potential reductions was not known at that time.  This uncertainty made planning for the future very difficult in three significant areas:  enrolment and other ministry funding; revenue from </w:t>
      </w:r>
      <w:r w:rsidR="009936BE">
        <w:rPr>
          <w:rFonts w:eastAsia="Calibri"/>
          <w:lang w:eastAsia="en-US"/>
        </w:rPr>
        <w:t xml:space="preserve">tuition fees; and impacts on universities’ expenditures resulting from change to the Ontario Student Assistance Program (OSAP).  </w:t>
      </w:r>
    </w:p>
    <w:p w14:paraId="6C807316" w14:textId="5C9915C6" w:rsidR="00C6495B" w:rsidRDefault="009936BE" w:rsidP="00BB306D">
      <w:pPr>
        <w:rPr>
          <w:rFonts w:eastAsia="Calibri"/>
          <w:lang w:eastAsia="en-US"/>
        </w:rPr>
      </w:pPr>
      <w:r>
        <w:rPr>
          <w:rFonts w:eastAsia="Calibri"/>
          <w:lang w:eastAsia="en-US"/>
        </w:rPr>
        <w:t xml:space="preserve">On January 17, 2019, the Ministry announced a mandatory </w:t>
      </w:r>
      <w:r w:rsidR="005B5F21">
        <w:rPr>
          <w:rFonts w:eastAsia="Calibri"/>
          <w:lang w:eastAsia="en-US"/>
        </w:rPr>
        <w:t xml:space="preserve">reduction of 10% to eligible </w:t>
      </w:r>
      <w:r w:rsidR="0026354B">
        <w:rPr>
          <w:rFonts w:eastAsia="Calibri"/>
          <w:lang w:eastAsia="en-US"/>
        </w:rPr>
        <w:t xml:space="preserve">(primarily domestic) </w:t>
      </w:r>
      <w:r w:rsidR="005B5F21">
        <w:rPr>
          <w:rFonts w:eastAsia="Calibri"/>
          <w:lang w:eastAsia="en-US"/>
        </w:rPr>
        <w:t>undergraduate and graduate tuition rates from 2018/2019 levels effective for the 2019/2020 academic year and furthermore froze tuition rates at 2019/2020 levels for 2020/2021.  Trent estimated the impact of this announcement to be a loss of $8.2 million for 2019/2020.</w:t>
      </w:r>
      <w:r w:rsidR="005C41CE">
        <w:rPr>
          <w:rFonts w:eastAsia="Calibri"/>
          <w:lang w:eastAsia="en-US"/>
        </w:rPr>
        <w:t xml:space="preserve">  </w:t>
      </w:r>
    </w:p>
    <w:p w14:paraId="2BEE409F" w14:textId="123EA69F" w:rsidR="009936BE" w:rsidRDefault="005C41CE" w:rsidP="00BB306D">
      <w:pPr>
        <w:rPr>
          <w:rFonts w:eastAsia="Calibri"/>
          <w:lang w:eastAsia="en-US"/>
        </w:rPr>
      </w:pPr>
      <w:r>
        <w:rPr>
          <w:rFonts w:eastAsia="Calibri"/>
          <w:lang w:eastAsia="en-US"/>
        </w:rPr>
        <w:t xml:space="preserve">Also announced at this time, were changes to the </w:t>
      </w:r>
      <w:r w:rsidR="00AF4E64">
        <w:rPr>
          <w:rFonts w:eastAsia="Calibri"/>
          <w:lang w:eastAsia="en-US"/>
        </w:rPr>
        <w:t>OSAP</w:t>
      </w:r>
      <w:r>
        <w:rPr>
          <w:rFonts w:eastAsia="Calibri"/>
          <w:lang w:eastAsia="en-US"/>
        </w:rPr>
        <w:t xml:space="preserve"> and the Student Choice Initiative, which gives students the choice to opt out of ancillary fees that do not meet the Ministry’s </w:t>
      </w:r>
      <w:r w:rsidR="00C6495B">
        <w:rPr>
          <w:rFonts w:eastAsia="Calibri"/>
          <w:lang w:eastAsia="en-US"/>
        </w:rPr>
        <w:t>definition of mandatory.</w:t>
      </w:r>
      <w:r w:rsidR="00C6495B">
        <w:t xml:space="preserve">  The impacts to the University, directly or indirectly, of OSAP changes and the Student Choice Initiative are still being determined.  </w:t>
      </w:r>
    </w:p>
    <w:p w14:paraId="734A6A55" w14:textId="6AE4DB38" w:rsidR="009246E7" w:rsidRDefault="009246E7" w:rsidP="00BB306D">
      <w:r>
        <w:t>The 2019 Provincial Budget, announced April 11, 2019, reiterated the government’s stated priorities to restore fiscal balance by 2023/2024.  Their vision for postsecondary education is to ensure that people have the “skills they need to get a good job.”  Funding for the postsecondary education sector is projected to decrease an average of 1.0% per year from 2018/2019 to 2021/2022.  Much of the decrease for 2019/2020 appears to be due to changes to OSAP</w:t>
      </w:r>
      <w:r w:rsidR="00C6495B">
        <w:t xml:space="preserve"> previously communicated</w:t>
      </w:r>
      <w:r>
        <w:t xml:space="preserve">.  </w:t>
      </w:r>
    </w:p>
    <w:p w14:paraId="71515AD1" w14:textId="219C2486" w:rsidR="00F2477E" w:rsidRDefault="009246E7" w:rsidP="00BB306D">
      <w:r w:rsidRPr="00BB306D">
        <w:lastRenderedPageBreak/>
        <w:t>At this time, it does not appear there will be</w:t>
      </w:r>
      <w:r w:rsidR="00812D9D" w:rsidRPr="00BB306D">
        <w:t xml:space="preserve"> major</w:t>
      </w:r>
      <w:r w:rsidRPr="00BB306D">
        <w:t xml:space="preserve"> changes to the funding model for fiscal 2019/2020.</w:t>
      </w:r>
      <w:r w:rsidR="006739B2" w:rsidRPr="00BB306D">
        <w:t xml:space="preserve">  </w:t>
      </w:r>
      <w:r w:rsidR="00C24593" w:rsidRPr="00BB306D">
        <w:t>The Core Operating Grant</w:t>
      </w:r>
      <w:r w:rsidR="00812D9D" w:rsidRPr="00BB306D">
        <w:t>, which funds</w:t>
      </w:r>
      <w:r w:rsidR="00C24593" w:rsidRPr="00BB306D">
        <w:t xml:space="preserve"> eligible enrolment</w:t>
      </w:r>
      <w:r w:rsidR="00812D9D" w:rsidRPr="00BB306D">
        <w:t>,</w:t>
      </w:r>
      <w:r w:rsidR="00C24593" w:rsidRPr="00BB306D">
        <w:t xml:space="preserve"> continues to be based on the 2016/2017 corridor mid-point.  </w:t>
      </w:r>
      <w:r w:rsidR="00812D9D" w:rsidRPr="00BB306D">
        <w:t>Of note, funding for e</w:t>
      </w:r>
      <w:r w:rsidR="00C24593" w:rsidRPr="00BB306D">
        <w:t>nrolment growth has not been confirmed for 2018/2019 or 2019/2020</w:t>
      </w:r>
      <w:r w:rsidR="00812D9D" w:rsidRPr="00BB306D">
        <w:t>, which has a significant impact for</w:t>
      </w:r>
      <w:r w:rsidR="00812D9D">
        <w:t xml:space="preserve"> </w:t>
      </w:r>
      <w:r w:rsidR="00812D9D" w:rsidRPr="00BB306D">
        <w:t>Trent as enrolment continues to increase well</w:t>
      </w:r>
      <w:r w:rsidR="00812D9D">
        <w:t xml:space="preserve"> </w:t>
      </w:r>
      <w:r w:rsidR="00812D9D" w:rsidRPr="00BB306D">
        <w:t xml:space="preserve">beyond </w:t>
      </w:r>
      <w:r w:rsidR="00812D9D">
        <w:t xml:space="preserve">that of the 2016/2017 base year.  Differentiation funding for this budget year is expected to continue at current levels.  The expectation is this funding will not be linked to performance outcomes until the following year.  </w:t>
      </w:r>
      <w:r w:rsidR="00C6495B">
        <w:t>Many s</w:t>
      </w:r>
      <w:r w:rsidR="00812D9D">
        <w:t xml:space="preserve">pecial purpose grants, which are aligned with government priorities, remain unconfirmed at this time with one </w:t>
      </w:r>
      <w:r w:rsidR="00C6495B">
        <w:t xml:space="preserve">notable </w:t>
      </w:r>
      <w:r w:rsidR="00812D9D">
        <w:t xml:space="preserve">exception.  The </w:t>
      </w:r>
      <w:r w:rsidR="003D04B8">
        <w:t>province</w:t>
      </w:r>
      <w:r w:rsidR="00812D9D">
        <w:t xml:space="preserve"> will no longer support the Graduate Enrolment Capital Expansion Program funding commencing with</w:t>
      </w:r>
      <w:r w:rsidR="00AF4E64">
        <w:t xml:space="preserve"> the</w:t>
      </w:r>
      <w:r w:rsidR="00812D9D">
        <w:t xml:space="preserve"> 2019/2020</w:t>
      </w:r>
      <w:r w:rsidR="00AF4E64">
        <w:t xml:space="preserve"> fiscal year</w:t>
      </w:r>
      <w:r w:rsidR="00812D9D">
        <w:t xml:space="preserve">. </w:t>
      </w:r>
    </w:p>
    <w:p w14:paraId="66D26417" w14:textId="1F7B0828" w:rsidR="009246E7" w:rsidRDefault="005C41CE" w:rsidP="00BB306D">
      <w:r>
        <w:t xml:space="preserve">The Provincial Budget did outline changes for future years.  </w:t>
      </w:r>
      <w:r w:rsidR="009246E7">
        <w:t xml:space="preserve">Commencing with Strategic Mandate Agreements for 2020 to 2025 (SMA3), the government will tie funding to labour market outcomes with 25% of funding tied to performance outcomes in 2020/2021 growing to 60% of funding in 2024/2025.  Performance-based funding will be based on </w:t>
      </w:r>
      <w:r w:rsidR="00A545EE">
        <w:t>ten</w:t>
      </w:r>
      <w:r w:rsidR="009246E7">
        <w:t xml:space="preserve"> metrics, six of which will be aligned with priorities in skills and job outcomes and four metrics related to economic and community impacts.  Universities will have the flexibility to weigh the metrics that best reflect their differentiated strategic goals and will be measured against their own targets based on historical performance.</w:t>
      </w:r>
      <w:r>
        <w:t xml:space="preserve">  </w:t>
      </w:r>
      <w:r w:rsidR="00C6495B">
        <w:t xml:space="preserve">In addition, two metrics related to faculty workload and faculty compensation will be reported to strengthen transparency and accountability; these two metrics will not be tied to outcomes-based funding.  </w:t>
      </w:r>
      <w:r>
        <w:t xml:space="preserve">The University </w:t>
      </w:r>
      <w:r w:rsidR="00C6495B">
        <w:t xml:space="preserve">anticipates engaging in discussions with the Ministry on </w:t>
      </w:r>
      <w:r w:rsidR="00A545EE">
        <w:t xml:space="preserve">potential </w:t>
      </w:r>
      <w:r w:rsidR="00C6495B">
        <w:t>adjustments to the enrolment corridor in Fall 2019.</w:t>
      </w:r>
    </w:p>
    <w:p w14:paraId="4DF4B7D4" w14:textId="77777777" w:rsidR="00E67E5E" w:rsidRPr="00193F69" w:rsidRDefault="00E67E5E" w:rsidP="00BB306D"/>
    <w:p w14:paraId="6299CD94" w14:textId="7E31DBA1" w:rsidR="001C1C5E" w:rsidRPr="003D04B8" w:rsidRDefault="001C1C5E" w:rsidP="003D04B8">
      <w:pPr>
        <w:pStyle w:val="Heading2"/>
        <w:rPr>
          <w:b/>
          <w:bCs/>
          <w:color w:val="5B9BD5" w:themeColor="accent1"/>
        </w:rPr>
      </w:pPr>
      <w:r w:rsidRPr="00715AE0">
        <w:rPr>
          <w:b/>
          <w:bCs/>
        </w:rPr>
        <w:t>Budget Process</w:t>
      </w:r>
    </w:p>
    <w:p w14:paraId="59C39D1B" w14:textId="77777777" w:rsidR="003D04B8" w:rsidRPr="003D04B8" w:rsidRDefault="003D04B8" w:rsidP="003D04B8"/>
    <w:p w14:paraId="2EAC58D0" w14:textId="4B1C7E42" w:rsidR="00193F69" w:rsidRPr="00193F69" w:rsidRDefault="00193F69" w:rsidP="00BB306D">
      <w:r w:rsidRPr="00193F69">
        <w:t>For the 2019/2020 budget cycle, Trent University continued to phase in its new approach to budget planning, Responsibility Centered Management (RCM).  RCM is an activity-based model intended to promote stronger linkages to academic goals and priorities.  The aim of RCM is to improve financial sustainability by emphasising the University’s strengths in teaching, research and services, and by supporting selected opportunities and innovations.  While RCM does not in and of itself increase net revenue for the University, it does promote innovative and efficient delivery of academic programming and enrolment planning by allowing increased revenue and cost savings to remain in the decanal unit that generates the positive change.  RCM will be implemented gradually over the next few years in a way that is sensitive to Trent’s fiscal realities and the complexities that arise as the University attempts to achieve a sustainable budget in the long term.  Administrative and support functions will be assessed against available University benchmarks and adjusted accordingly.  An important feature will be the availability of some incentive funding to help in the development of new programs and revenue opportunities.  RCM is a key consideration, along with other principles including alignment with the University’s Strategic Plans, academic needs, and legislative or other mandatory requirements, when prioritizing and recommending new investments and changes to resource allocations.</w:t>
      </w:r>
    </w:p>
    <w:p w14:paraId="7BE62EE2" w14:textId="50981078" w:rsidR="001C1C5E" w:rsidRDefault="001C1C5E" w:rsidP="00BB306D">
      <w:pPr>
        <w:rPr>
          <w:rFonts w:eastAsia="Calibri"/>
          <w:lang w:eastAsia="en-US"/>
        </w:rPr>
      </w:pPr>
      <w:r>
        <w:rPr>
          <w:rFonts w:eastAsia="Calibri"/>
          <w:lang w:eastAsia="en-US"/>
        </w:rPr>
        <w:lastRenderedPageBreak/>
        <w:t xml:space="preserve">While the University remains committed to multi-year planning, due to the significant uncertainty identified in the fiscal environment at the time planning commenced (and in part, </w:t>
      </w:r>
      <w:r w:rsidR="00BB306D">
        <w:rPr>
          <w:rFonts w:eastAsia="Calibri"/>
          <w:lang w:eastAsia="en-US"/>
        </w:rPr>
        <w:t>remaining</w:t>
      </w:r>
      <w:r>
        <w:rPr>
          <w:rFonts w:eastAsia="Calibri"/>
          <w:lang w:eastAsia="en-US"/>
        </w:rPr>
        <w:t>), multi-year planning previously introduced in the 2018/2019 budget process was suspended.  Budget planning concentrated on 2019/2020 for this budget cycle</w:t>
      </w:r>
      <w:r w:rsidR="00BF377D">
        <w:rPr>
          <w:rFonts w:eastAsia="Calibri"/>
          <w:lang w:eastAsia="en-US"/>
        </w:rPr>
        <w:t xml:space="preserve"> </w:t>
      </w:r>
      <w:proofErr w:type="gramStart"/>
      <w:r w:rsidR="00BF377D">
        <w:rPr>
          <w:rFonts w:eastAsia="Calibri"/>
          <w:lang w:eastAsia="en-US"/>
        </w:rPr>
        <w:t>with the exception of</w:t>
      </w:r>
      <w:proofErr w:type="gramEnd"/>
      <w:r w:rsidR="00BF377D">
        <w:rPr>
          <w:rFonts w:eastAsia="Calibri"/>
          <w:lang w:eastAsia="en-US"/>
        </w:rPr>
        <w:t xml:space="preserve"> m</w:t>
      </w:r>
      <w:r w:rsidR="00A47DF2">
        <w:rPr>
          <w:rFonts w:eastAsia="Calibri"/>
          <w:lang w:eastAsia="en-US"/>
        </w:rPr>
        <w:t>ulti-year enrolment projections</w:t>
      </w:r>
      <w:r w:rsidR="00BF377D">
        <w:rPr>
          <w:rFonts w:eastAsia="Calibri"/>
          <w:lang w:eastAsia="en-US"/>
        </w:rPr>
        <w:t>, which</w:t>
      </w:r>
      <w:r w:rsidR="00A47DF2">
        <w:rPr>
          <w:rFonts w:eastAsia="Calibri"/>
          <w:lang w:eastAsia="en-US"/>
        </w:rPr>
        <w:t xml:space="preserve"> </w:t>
      </w:r>
      <w:r w:rsidR="00AF4E64">
        <w:rPr>
          <w:rFonts w:eastAsia="Calibri"/>
          <w:lang w:eastAsia="en-US"/>
        </w:rPr>
        <w:t xml:space="preserve">continued to be </w:t>
      </w:r>
      <w:r w:rsidR="00A47DF2">
        <w:rPr>
          <w:rFonts w:eastAsia="Calibri"/>
          <w:lang w:eastAsia="en-US"/>
        </w:rPr>
        <w:t xml:space="preserve">modelled based on </w:t>
      </w:r>
      <w:r w:rsidR="00AF4E64">
        <w:rPr>
          <w:rFonts w:eastAsia="Calibri"/>
          <w:lang w:eastAsia="en-US"/>
        </w:rPr>
        <w:t xml:space="preserve">the </w:t>
      </w:r>
      <w:r w:rsidR="00A47DF2">
        <w:rPr>
          <w:rFonts w:eastAsia="Calibri"/>
          <w:lang w:eastAsia="en-US"/>
        </w:rPr>
        <w:t xml:space="preserve">November 1, </w:t>
      </w:r>
      <w:r w:rsidR="00BB306D">
        <w:rPr>
          <w:rFonts w:eastAsia="Calibri"/>
          <w:lang w:eastAsia="en-US"/>
        </w:rPr>
        <w:t>2018,</w:t>
      </w:r>
      <w:r w:rsidR="00A47DF2">
        <w:rPr>
          <w:rFonts w:eastAsia="Calibri"/>
          <w:lang w:eastAsia="en-US"/>
        </w:rPr>
        <w:t xml:space="preserve"> Fall enrolment count.</w:t>
      </w:r>
      <w:r>
        <w:rPr>
          <w:rFonts w:eastAsia="Calibri"/>
          <w:lang w:eastAsia="en-US"/>
        </w:rPr>
        <w:t xml:space="preserve"> </w:t>
      </w:r>
    </w:p>
    <w:p w14:paraId="04611592" w14:textId="45CCB26B" w:rsidR="00FE6C16" w:rsidRPr="00193F69" w:rsidRDefault="00A5702E" w:rsidP="00BB306D">
      <w:r w:rsidRPr="00193F69">
        <w:t>The budget process began with updating the prior year’s base</w:t>
      </w:r>
      <w:r w:rsidR="002949F0" w:rsidRPr="00193F69">
        <w:t xml:space="preserve"> and RCM</w:t>
      </w:r>
      <w:r w:rsidRPr="00193F69">
        <w:t xml:space="preserve"> budgets to reflect salary escalation, inflation and other known changes in staffing and other expenses.  Budget developers received their updated base and RCM budgets</w:t>
      </w:r>
      <w:r w:rsidR="0026354B">
        <w:t xml:space="preserve"> (where applicable)</w:t>
      </w:r>
      <w:r w:rsidRPr="00193F69">
        <w:t xml:space="preserve">, guidelines, and </w:t>
      </w:r>
      <w:r w:rsidR="000774E1" w:rsidRPr="00193F69">
        <w:t xml:space="preserve">key planning </w:t>
      </w:r>
      <w:r w:rsidRPr="00193F69">
        <w:t>assumptions</w:t>
      </w:r>
      <w:r w:rsidR="000774E1" w:rsidRPr="00193F69">
        <w:t>, including multi-year enrolment projections,</w:t>
      </w:r>
      <w:r w:rsidRPr="00193F69">
        <w:t xml:space="preserve"> </w:t>
      </w:r>
      <w:r w:rsidR="001C1C5E">
        <w:t>in</w:t>
      </w:r>
      <w:r w:rsidRPr="00193F69">
        <w:t xml:space="preserve"> December 201</w:t>
      </w:r>
      <w:r w:rsidR="0089534A">
        <w:t>8</w:t>
      </w:r>
      <w:r w:rsidRPr="00193F69">
        <w:t xml:space="preserve">.  </w:t>
      </w:r>
      <w:r w:rsidR="001C1C5E">
        <w:t>Consistent with last</w:t>
      </w:r>
      <w:r w:rsidR="000774E1" w:rsidRPr="00193F69">
        <w:t xml:space="preserve"> year, budget development packages included in-year financial performance statements by department to assist budget owners in monitoring their current year’s performance and assessing potential future resource requirements. </w:t>
      </w:r>
      <w:r w:rsidR="00FE6C16">
        <w:t xml:space="preserve"> The budget packages also included a business case template to aid in the identification of proposed budget reduction strategies or recommended new strategic investments, as outlined below.</w:t>
      </w:r>
      <w:r w:rsidR="00FE6C16" w:rsidRPr="00193F69">
        <w:t xml:space="preserve"> </w:t>
      </w:r>
    </w:p>
    <w:p w14:paraId="660BCAEC" w14:textId="0980CC60" w:rsidR="00A47DF2" w:rsidRDefault="001C1C5E" w:rsidP="00BB306D">
      <w:r>
        <w:rPr>
          <w:rFonts w:eastAsia="Calibri"/>
          <w:lang w:eastAsia="en-US"/>
        </w:rPr>
        <w:t>Due to the fiscal uncertainty,</w:t>
      </w:r>
      <w:r w:rsidR="00A47DF2">
        <w:rPr>
          <w:rFonts w:eastAsia="Calibri"/>
          <w:lang w:eastAsia="en-US"/>
        </w:rPr>
        <w:t xml:space="preserve"> </w:t>
      </w:r>
      <w:r>
        <w:rPr>
          <w:rFonts w:eastAsia="Calibri"/>
          <w:lang w:eastAsia="en-US"/>
        </w:rPr>
        <w:t>budget owners were requested to identify strategies required to mitigate a 5% reduction in departmental budgets.  Ancillary services were also expected to make proposals to increase their contributions to the operating budget by 5%.  It was strongly encouraged that these budget reductions or increased operating contributions be on-going in nature, where possible.</w:t>
      </w:r>
      <w:r w:rsidR="00A47DF2" w:rsidRPr="00A47DF2">
        <w:t xml:space="preserve"> </w:t>
      </w:r>
      <w:r w:rsidR="00A47DF2">
        <w:t xml:space="preserve"> Budget owners were asked to outline how the proposed budget reduction strategies would be achieved and describe the possible impact on the level and quality of service provided, including any potential negative impacts to students</w:t>
      </w:r>
      <w:r w:rsidR="0026354B">
        <w:t xml:space="preserve"> and to staff</w:t>
      </w:r>
      <w:r w:rsidR="00A47DF2">
        <w:t xml:space="preserve">.  </w:t>
      </w:r>
    </w:p>
    <w:p w14:paraId="340F686C" w14:textId="2093A3AC" w:rsidR="00FE6C16" w:rsidRDefault="00A47DF2" w:rsidP="00BB306D">
      <w:r>
        <w:t xml:space="preserve">New </w:t>
      </w:r>
      <w:r w:rsidR="00FE6C16">
        <w:t xml:space="preserve">strategic </w:t>
      </w:r>
      <w:r>
        <w:t xml:space="preserve">investment proposals needed to address student enrolment growth or in response to legislative compliance requirements or being put forward as efficiency measures were also </w:t>
      </w:r>
      <w:r w:rsidR="00FE6C16">
        <w:t xml:space="preserve">to be identified.  Budget developers were requested to indicate </w:t>
      </w:r>
      <w:r w:rsidR="00B14EBE">
        <w:t xml:space="preserve">the rationale for the request, </w:t>
      </w:r>
      <w:r w:rsidR="00FE6C16">
        <w:t>how such new investments would be accommodated within the departmental budget, or where this was not possible, they were asked to indicate the impact and risk associated with not proceeding with the proposed new investment initiative.</w:t>
      </w:r>
      <w:r w:rsidR="00B14EBE">
        <w:t xml:space="preserve"> </w:t>
      </w:r>
      <w:r w:rsidR="00FE6C16">
        <w:t xml:space="preserve"> </w:t>
      </w:r>
    </w:p>
    <w:p w14:paraId="7F03E17C" w14:textId="7422C245" w:rsidR="000558D7" w:rsidRPr="00193F69" w:rsidRDefault="000558D7" w:rsidP="00BB306D">
      <w:r w:rsidRPr="00193F69">
        <w:t>During the week of</w:t>
      </w:r>
      <w:r w:rsidR="00A5702E" w:rsidRPr="00193F69">
        <w:t xml:space="preserve"> February</w:t>
      </w:r>
      <w:r w:rsidR="00B14EBE">
        <w:t xml:space="preserve"> 19</w:t>
      </w:r>
      <w:r w:rsidR="00A5702E" w:rsidRPr="00193F69">
        <w:t>, 201</w:t>
      </w:r>
      <w:r w:rsidR="002C1FE6">
        <w:t>9</w:t>
      </w:r>
      <w:r w:rsidRPr="00193F69">
        <w:t>, budget owners presented details of their submitted proposals for PVP’s consideration.  Each budget developer was required to include in their presentation: a high-level summary of their department’s 201</w:t>
      </w:r>
      <w:r w:rsidR="00B14EBE">
        <w:t>8</w:t>
      </w:r>
      <w:r w:rsidRPr="00193F69">
        <w:t>/201</w:t>
      </w:r>
      <w:r w:rsidR="00B14EBE">
        <w:t>9</w:t>
      </w:r>
      <w:r w:rsidRPr="00193F69">
        <w:t xml:space="preserve"> in-year financial performance and forecast to year end, including their proposed use of any unspent budget where a surplus was anticipated or mitigating strategies if projecting a deficit; details and rationale for proposed </w:t>
      </w:r>
      <w:r w:rsidR="00F2477E">
        <w:t xml:space="preserve">budget reduction strategies and </w:t>
      </w:r>
      <w:r w:rsidRPr="00193F69">
        <w:t>strategic investments</w:t>
      </w:r>
      <w:r w:rsidR="00F2477E">
        <w:t>, including potential impacts</w:t>
      </w:r>
      <w:r w:rsidRPr="00193F69">
        <w:t xml:space="preserve">; </w:t>
      </w:r>
      <w:r w:rsidR="00E26E07" w:rsidRPr="00193F69">
        <w:t>strategies</w:t>
      </w:r>
      <w:r w:rsidRPr="00193F69">
        <w:t xml:space="preserve"> to work toward the RCM target for academic units; comparisons to university peer benchmarks for support and administrative areas; and proposed use of surpluses or mitigation strategies for projected deficits for ancillary services.</w:t>
      </w:r>
    </w:p>
    <w:p w14:paraId="6813581C" w14:textId="1C907E58" w:rsidR="00A5702E" w:rsidRDefault="00A5702E" w:rsidP="00BB306D">
      <w:r w:rsidRPr="00193F69">
        <w:t>PVP met on multiple occasions to discuss the request</w:t>
      </w:r>
      <w:r w:rsidR="00F2477E">
        <w:t>ed strategies</w:t>
      </w:r>
      <w:r w:rsidRPr="00193F69">
        <w:t xml:space="preserve"> and determine </w:t>
      </w:r>
      <w:r w:rsidR="006D54F8" w:rsidRPr="00193F69">
        <w:t>recommendations</w:t>
      </w:r>
      <w:r w:rsidR="00F2477E">
        <w:t xml:space="preserve">.  For budget reduction proposals, they </w:t>
      </w:r>
      <w:proofErr w:type="gramStart"/>
      <w:r w:rsidR="00F2477E">
        <w:t>gave</w:t>
      </w:r>
      <w:r w:rsidR="006D54F8" w:rsidRPr="00193F69">
        <w:t xml:space="preserve"> </w:t>
      </w:r>
      <w:r w:rsidRPr="00193F69">
        <w:t xml:space="preserve">careful consideration </w:t>
      </w:r>
      <w:r w:rsidR="00F2477E">
        <w:t>to</w:t>
      </w:r>
      <w:proofErr w:type="gramEnd"/>
      <w:r w:rsidR="00F2477E">
        <w:t xml:space="preserve"> strategies that minimized the impact </w:t>
      </w:r>
      <w:r w:rsidR="00F2477E">
        <w:lastRenderedPageBreak/>
        <w:t xml:space="preserve">to students and did not compromise quality of programs and services. For strategic investments, particular attention was given </w:t>
      </w:r>
      <w:r w:rsidRPr="00193F69">
        <w:t xml:space="preserve">to current needs </w:t>
      </w:r>
      <w:r w:rsidR="00F2477E">
        <w:t xml:space="preserve">that addressed student enrolment growth </w:t>
      </w:r>
      <w:r w:rsidRPr="00193F69">
        <w:t>and longer</w:t>
      </w:r>
      <w:r w:rsidR="00F2477E">
        <w:t>-</w:t>
      </w:r>
      <w:r w:rsidRPr="00193F69">
        <w:t>term impact on the allocation of resources</w:t>
      </w:r>
      <w:r w:rsidR="006D54F8" w:rsidRPr="00193F69">
        <w:t xml:space="preserve"> as well as </w:t>
      </w:r>
      <w:r w:rsidR="00E26E07" w:rsidRPr="00193F69">
        <w:t>alignment</w:t>
      </w:r>
      <w:r w:rsidR="006D54F8" w:rsidRPr="00193F69">
        <w:t xml:space="preserve"> with the University’s strategic plans</w:t>
      </w:r>
      <w:r w:rsidRPr="00193F69">
        <w:t>.</w:t>
      </w:r>
      <w:r w:rsidR="002949F0" w:rsidRPr="00193F69">
        <w:t xml:space="preserve"> </w:t>
      </w:r>
      <w:r w:rsidR="00974088" w:rsidRPr="00193F69">
        <w:t xml:space="preserve"> The RCM model was also used as </w:t>
      </w:r>
      <w:r w:rsidR="001A5BBB" w:rsidRPr="00193F69">
        <w:t xml:space="preserve">a </w:t>
      </w:r>
      <w:r w:rsidR="00974088" w:rsidRPr="00193F69">
        <w:t>guiding principle for decision making when pr</w:t>
      </w:r>
      <w:r w:rsidR="00E26E07" w:rsidRPr="00193F69">
        <w:t xml:space="preserve">ioritizing and recommending strategic </w:t>
      </w:r>
      <w:r w:rsidR="00974088" w:rsidRPr="00193F69">
        <w:t>investments.</w:t>
      </w:r>
    </w:p>
    <w:p w14:paraId="6E4BAD30" w14:textId="77777777" w:rsidR="00E67E5E" w:rsidRPr="00193F69" w:rsidRDefault="00E67E5E" w:rsidP="00BB306D"/>
    <w:p w14:paraId="49281BFD" w14:textId="7523618C" w:rsidR="00A33979" w:rsidRDefault="00A33979" w:rsidP="003D04B8">
      <w:pPr>
        <w:pStyle w:val="Heading2"/>
        <w:rPr>
          <w:b/>
          <w:bCs/>
          <w:color w:val="5B9BD5" w:themeColor="accent1"/>
        </w:rPr>
      </w:pPr>
      <w:r w:rsidRPr="00715AE0">
        <w:rPr>
          <w:b/>
          <w:bCs/>
        </w:rPr>
        <w:t>Timelines</w:t>
      </w:r>
    </w:p>
    <w:p w14:paraId="696220AF" w14:textId="77777777" w:rsidR="003D04B8" w:rsidRPr="003D04B8" w:rsidRDefault="003D04B8" w:rsidP="003D04B8"/>
    <w:p w14:paraId="22C68F61" w14:textId="39595D93" w:rsidR="00A33979" w:rsidRPr="00193F69" w:rsidRDefault="00A33979" w:rsidP="00BB306D">
      <w:r w:rsidRPr="00193F69">
        <w:t>The table below sets out the timelines and consultative meetings held throughout the budget process</w:t>
      </w:r>
      <w:r w:rsidR="00A545EE">
        <w:t>.</w:t>
      </w:r>
    </w:p>
    <w:p w14:paraId="261BE8F7" w14:textId="17C512B1" w:rsidR="008D22ED" w:rsidRPr="00903D0E" w:rsidRDefault="005A7AC2" w:rsidP="005A7AC2">
      <w:pPr>
        <w:spacing w:after="160" w:line="259" w:lineRule="auto"/>
        <w:rPr>
          <w:rFonts w:ascii="Arial" w:hAnsi="Arial" w:cs="Arial"/>
          <w:sz w:val="24"/>
          <w:szCs w:val="24"/>
        </w:rPr>
      </w:pPr>
      <w:r>
        <w:rPr>
          <w:rFonts w:ascii="Arial" w:hAnsi="Arial" w:cs="Arial"/>
          <w:sz w:val="24"/>
          <w:szCs w:val="24"/>
        </w:rPr>
        <w:br w:type="page"/>
      </w:r>
    </w:p>
    <w:tbl>
      <w:tblPr>
        <w:tblStyle w:val="GridTable4"/>
        <w:tblW w:w="0" w:type="auto"/>
        <w:tblLook w:val="04A0" w:firstRow="1" w:lastRow="0" w:firstColumn="1" w:lastColumn="0" w:noHBand="0" w:noVBand="1"/>
      </w:tblPr>
      <w:tblGrid>
        <w:gridCol w:w="4675"/>
        <w:gridCol w:w="1980"/>
        <w:gridCol w:w="2695"/>
      </w:tblGrid>
      <w:tr w:rsidR="00156618" w:rsidRPr="008F39E7" w14:paraId="068A003B" w14:textId="77777777" w:rsidTr="00E03C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5B7F95"/>
            <w:vAlign w:val="center"/>
          </w:tcPr>
          <w:p w14:paraId="3D4ECBEA" w14:textId="77777777" w:rsidR="00156618" w:rsidRPr="003E783B" w:rsidRDefault="00156618" w:rsidP="003D219B">
            <w:pPr>
              <w:rPr>
                <w:b w:val="0"/>
                <w:bCs w:val="0"/>
              </w:rPr>
            </w:pPr>
            <w:r w:rsidRPr="00715AE0">
              <w:rPr>
                <w:color w:val="auto"/>
              </w:rPr>
              <w:lastRenderedPageBreak/>
              <w:t>Preliminary Budget Discussions</w:t>
            </w:r>
          </w:p>
        </w:tc>
        <w:tc>
          <w:tcPr>
            <w:tcW w:w="4675" w:type="dxa"/>
            <w:gridSpan w:val="2"/>
            <w:shd w:val="clear" w:color="auto" w:fill="5B7F95"/>
            <w:vAlign w:val="center"/>
          </w:tcPr>
          <w:p w14:paraId="18F4E88C" w14:textId="7F88C732" w:rsidR="00156618" w:rsidRPr="003E783B" w:rsidRDefault="00156618" w:rsidP="003D219B">
            <w:pPr>
              <w:cnfStyle w:val="100000000000" w:firstRow="1" w:lastRow="0" w:firstColumn="0" w:lastColumn="0" w:oddVBand="0" w:evenVBand="0" w:oddHBand="0" w:evenHBand="0" w:firstRowFirstColumn="0" w:firstRowLastColumn="0" w:lastRowFirstColumn="0" w:lastRowLastColumn="0"/>
            </w:pPr>
          </w:p>
        </w:tc>
      </w:tr>
      <w:tr w:rsidR="00A33979" w:rsidRPr="008F39E7" w14:paraId="038D9620"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773781D7" w14:textId="2F265760" w:rsidR="00A33979" w:rsidRPr="008F39E7" w:rsidRDefault="00A33979" w:rsidP="003D219B">
            <w:pPr>
              <w:rPr>
                <w:b w:val="0"/>
              </w:rPr>
            </w:pPr>
            <w:r w:rsidRPr="008F39E7">
              <w:rPr>
                <w:b w:val="0"/>
              </w:rPr>
              <w:t>President / Vice</w:t>
            </w:r>
            <w:r w:rsidR="00E26E07" w:rsidRPr="008F39E7">
              <w:rPr>
                <w:b w:val="0"/>
              </w:rPr>
              <w:t>-</w:t>
            </w:r>
            <w:r w:rsidRPr="008F39E7">
              <w:rPr>
                <w:b w:val="0"/>
              </w:rPr>
              <w:t>President Committee</w:t>
            </w:r>
          </w:p>
        </w:tc>
        <w:tc>
          <w:tcPr>
            <w:tcW w:w="2695" w:type="dxa"/>
            <w:vAlign w:val="center"/>
          </w:tcPr>
          <w:p w14:paraId="277D0DF7" w14:textId="6DAD4F6A" w:rsidR="00A33979" w:rsidRPr="008F39E7" w:rsidRDefault="00A33979" w:rsidP="003D219B">
            <w:pPr>
              <w:cnfStyle w:val="000000100000" w:firstRow="0" w:lastRow="0" w:firstColumn="0" w:lastColumn="0" w:oddVBand="0" w:evenVBand="0" w:oddHBand="1" w:evenHBand="0" w:firstRowFirstColumn="0" w:firstRowLastColumn="0" w:lastRowFirstColumn="0" w:lastRowLastColumn="0"/>
            </w:pPr>
            <w:r w:rsidRPr="008F39E7">
              <w:t xml:space="preserve">November </w:t>
            </w:r>
            <w:r w:rsidR="00E26E07" w:rsidRPr="008F39E7">
              <w:t>1</w:t>
            </w:r>
            <w:r w:rsidR="00016182" w:rsidRPr="008F39E7">
              <w:t>2, 2018</w:t>
            </w:r>
          </w:p>
        </w:tc>
      </w:tr>
      <w:tr w:rsidR="00A33979" w:rsidRPr="008F39E7" w14:paraId="641F5B3C"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69C4F17C" w14:textId="0425D184" w:rsidR="00A33979" w:rsidRPr="008F39E7" w:rsidRDefault="00E26E07" w:rsidP="003D219B">
            <w:pPr>
              <w:rPr>
                <w:b w:val="0"/>
              </w:rPr>
            </w:pPr>
            <w:r w:rsidRPr="008F39E7">
              <w:rPr>
                <w:b w:val="0"/>
              </w:rPr>
              <w:t>Finance and Property Committee</w:t>
            </w:r>
          </w:p>
        </w:tc>
        <w:tc>
          <w:tcPr>
            <w:tcW w:w="2695" w:type="dxa"/>
            <w:vAlign w:val="center"/>
          </w:tcPr>
          <w:p w14:paraId="4371142A" w14:textId="14BF1626" w:rsidR="00A33979" w:rsidRPr="008F39E7" w:rsidRDefault="00A33979" w:rsidP="003D219B">
            <w:pPr>
              <w:cnfStyle w:val="000000000000" w:firstRow="0" w:lastRow="0" w:firstColumn="0" w:lastColumn="0" w:oddVBand="0" w:evenVBand="0" w:oddHBand="0" w:evenHBand="0" w:firstRowFirstColumn="0" w:firstRowLastColumn="0" w:lastRowFirstColumn="0" w:lastRowLastColumn="0"/>
            </w:pPr>
            <w:r w:rsidRPr="008F39E7">
              <w:t xml:space="preserve">November </w:t>
            </w:r>
            <w:r w:rsidR="00016182" w:rsidRPr="008F39E7">
              <w:t>21, 2018</w:t>
            </w:r>
          </w:p>
        </w:tc>
      </w:tr>
      <w:tr w:rsidR="00016182" w:rsidRPr="008F39E7" w14:paraId="340D36F6"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0D17E98B" w14:textId="1A145AB1" w:rsidR="00016182" w:rsidRPr="008F39E7" w:rsidRDefault="00016182" w:rsidP="003D219B">
            <w:pPr>
              <w:rPr>
                <w:b w:val="0"/>
                <w:bCs w:val="0"/>
              </w:rPr>
            </w:pPr>
            <w:r w:rsidRPr="008F39E7">
              <w:rPr>
                <w:b w:val="0"/>
                <w:bCs w:val="0"/>
              </w:rPr>
              <w:t>Administration Planning Group</w:t>
            </w:r>
          </w:p>
        </w:tc>
        <w:tc>
          <w:tcPr>
            <w:tcW w:w="2695" w:type="dxa"/>
            <w:vAlign w:val="center"/>
          </w:tcPr>
          <w:p w14:paraId="69671E95" w14:textId="466D6EB4" w:rsidR="00016182" w:rsidRPr="008F39E7" w:rsidRDefault="00016182" w:rsidP="003D219B">
            <w:pPr>
              <w:cnfStyle w:val="000000100000" w:firstRow="0" w:lastRow="0" w:firstColumn="0" w:lastColumn="0" w:oddVBand="0" w:evenVBand="0" w:oddHBand="1" w:evenHBand="0" w:firstRowFirstColumn="0" w:firstRowLastColumn="0" w:lastRowFirstColumn="0" w:lastRowLastColumn="0"/>
            </w:pPr>
            <w:r w:rsidRPr="008F39E7">
              <w:t>November 22, 2018</w:t>
            </w:r>
          </w:p>
        </w:tc>
      </w:tr>
      <w:tr w:rsidR="00016182" w:rsidRPr="008F39E7" w14:paraId="35CAD2CF"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78EE9DB7" w14:textId="2ABF9B28" w:rsidR="00016182" w:rsidRPr="008F39E7" w:rsidRDefault="00016182" w:rsidP="003D219B">
            <w:pPr>
              <w:rPr>
                <w:b w:val="0"/>
                <w:bCs w:val="0"/>
              </w:rPr>
            </w:pPr>
            <w:r w:rsidRPr="008F39E7">
              <w:rPr>
                <w:b w:val="0"/>
                <w:bCs w:val="0"/>
              </w:rPr>
              <w:t>Board of Governors</w:t>
            </w:r>
          </w:p>
        </w:tc>
        <w:tc>
          <w:tcPr>
            <w:tcW w:w="2695" w:type="dxa"/>
            <w:vAlign w:val="center"/>
          </w:tcPr>
          <w:p w14:paraId="75255F6D" w14:textId="1CD52FC4" w:rsidR="00016182" w:rsidRPr="008F39E7" w:rsidRDefault="00016182" w:rsidP="003D219B">
            <w:pPr>
              <w:cnfStyle w:val="000000000000" w:firstRow="0" w:lastRow="0" w:firstColumn="0" w:lastColumn="0" w:oddVBand="0" w:evenVBand="0" w:oddHBand="0" w:evenHBand="0" w:firstRowFirstColumn="0" w:firstRowLastColumn="0" w:lastRowFirstColumn="0" w:lastRowLastColumn="0"/>
            </w:pPr>
            <w:r w:rsidRPr="008F39E7">
              <w:t>November 30, 2018</w:t>
            </w:r>
          </w:p>
        </w:tc>
      </w:tr>
      <w:tr w:rsidR="00E26E07" w:rsidRPr="008F39E7" w14:paraId="3E5ADB94"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21FBEDAE" w14:textId="6DE08D6A" w:rsidR="00E26E07" w:rsidRPr="008F39E7" w:rsidRDefault="00E26E07" w:rsidP="003D219B">
            <w:pPr>
              <w:rPr>
                <w:b w:val="0"/>
              </w:rPr>
            </w:pPr>
            <w:r w:rsidRPr="008F39E7">
              <w:rPr>
                <w:b w:val="0"/>
              </w:rPr>
              <w:t>Special TUFA Joint Committee</w:t>
            </w:r>
          </w:p>
        </w:tc>
        <w:tc>
          <w:tcPr>
            <w:tcW w:w="2695" w:type="dxa"/>
            <w:vAlign w:val="center"/>
          </w:tcPr>
          <w:p w14:paraId="58DA00BB" w14:textId="26483562" w:rsidR="00E26E07" w:rsidRPr="008F39E7" w:rsidRDefault="00016182" w:rsidP="003D219B">
            <w:pPr>
              <w:cnfStyle w:val="000000100000" w:firstRow="0" w:lastRow="0" w:firstColumn="0" w:lastColumn="0" w:oddVBand="0" w:evenVBand="0" w:oddHBand="1" w:evenHBand="0" w:firstRowFirstColumn="0" w:firstRowLastColumn="0" w:lastRowFirstColumn="0" w:lastRowLastColumn="0"/>
            </w:pPr>
            <w:r w:rsidRPr="008F39E7">
              <w:t>December 4, 2018</w:t>
            </w:r>
          </w:p>
        </w:tc>
      </w:tr>
      <w:tr w:rsidR="00E26E07" w:rsidRPr="008F39E7" w14:paraId="35D7B9EF"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111E8CB0" w14:textId="2C1FDE6E" w:rsidR="00E26E07" w:rsidRPr="008F39E7" w:rsidRDefault="00E26E07" w:rsidP="003D219B">
            <w:pPr>
              <w:rPr>
                <w:b w:val="0"/>
              </w:rPr>
            </w:pPr>
            <w:r w:rsidRPr="008F39E7">
              <w:rPr>
                <w:b w:val="0"/>
              </w:rPr>
              <w:t>Joint Academic Planning &amp; Budget / Provost’s Planning Group</w:t>
            </w:r>
          </w:p>
        </w:tc>
        <w:tc>
          <w:tcPr>
            <w:tcW w:w="2695" w:type="dxa"/>
            <w:vAlign w:val="center"/>
          </w:tcPr>
          <w:p w14:paraId="5C07E48C" w14:textId="63D0F7C0" w:rsidR="00E26E07" w:rsidRPr="008F39E7" w:rsidRDefault="00E26E07" w:rsidP="003D219B">
            <w:pPr>
              <w:cnfStyle w:val="000000000000" w:firstRow="0" w:lastRow="0" w:firstColumn="0" w:lastColumn="0" w:oddVBand="0" w:evenVBand="0" w:oddHBand="0" w:evenHBand="0" w:firstRowFirstColumn="0" w:firstRowLastColumn="0" w:lastRowFirstColumn="0" w:lastRowLastColumn="0"/>
            </w:pPr>
            <w:r w:rsidRPr="008F39E7">
              <w:t xml:space="preserve">December </w:t>
            </w:r>
            <w:r w:rsidR="00016182" w:rsidRPr="008F39E7">
              <w:t>6, 2018</w:t>
            </w:r>
          </w:p>
        </w:tc>
      </w:tr>
      <w:tr w:rsidR="00016182" w:rsidRPr="008F39E7" w14:paraId="280F727E"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0A49294A" w14:textId="56E62297" w:rsidR="00016182" w:rsidRPr="008F39E7" w:rsidRDefault="00016182" w:rsidP="003D219B">
            <w:pPr>
              <w:rPr>
                <w:b w:val="0"/>
                <w:bCs w:val="0"/>
              </w:rPr>
            </w:pPr>
            <w:r w:rsidRPr="008F39E7">
              <w:rPr>
                <w:b w:val="0"/>
                <w:bCs w:val="0"/>
              </w:rPr>
              <w:t>Faculty Board</w:t>
            </w:r>
          </w:p>
        </w:tc>
        <w:tc>
          <w:tcPr>
            <w:tcW w:w="2695" w:type="dxa"/>
            <w:vAlign w:val="center"/>
          </w:tcPr>
          <w:p w14:paraId="33C1ACD0" w14:textId="242E2973" w:rsidR="00016182" w:rsidRPr="008F39E7" w:rsidRDefault="00016182" w:rsidP="003D219B">
            <w:pPr>
              <w:cnfStyle w:val="000000100000" w:firstRow="0" w:lastRow="0" w:firstColumn="0" w:lastColumn="0" w:oddVBand="0" w:evenVBand="0" w:oddHBand="1" w:evenHBand="0" w:firstRowFirstColumn="0" w:firstRowLastColumn="0" w:lastRowFirstColumn="0" w:lastRowLastColumn="0"/>
            </w:pPr>
            <w:r w:rsidRPr="008F39E7">
              <w:t>February 8, 2019</w:t>
            </w:r>
          </w:p>
        </w:tc>
      </w:tr>
      <w:tr w:rsidR="00E26E07" w:rsidRPr="008F39E7" w14:paraId="45486DBC"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3004CEF5" w14:textId="40632C49" w:rsidR="00E26E07" w:rsidRPr="008F39E7" w:rsidRDefault="00E26E07" w:rsidP="003D219B">
            <w:pPr>
              <w:rPr>
                <w:b w:val="0"/>
              </w:rPr>
            </w:pPr>
            <w:r w:rsidRPr="008F39E7">
              <w:rPr>
                <w:b w:val="0"/>
              </w:rPr>
              <w:t>Colleges and Student Services Committee</w:t>
            </w:r>
          </w:p>
        </w:tc>
        <w:tc>
          <w:tcPr>
            <w:tcW w:w="2695" w:type="dxa"/>
            <w:vAlign w:val="center"/>
          </w:tcPr>
          <w:p w14:paraId="43844B45" w14:textId="2F50E65C" w:rsidR="00E26E07" w:rsidRPr="008F39E7" w:rsidRDefault="00016182" w:rsidP="003D219B">
            <w:pPr>
              <w:cnfStyle w:val="000000000000" w:firstRow="0" w:lastRow="0" w:firstColumn="0" w:lastColumn="0" w:oddVBand="0" w:evenVBand="0" w:oddHBand="0" w:evenHBand="0" w:firstRowFirstColumn="0" w:firstRowLastColumn="0" w:lastRowFirstColumn="0" w:lastRowLastColumn="0"/>
            </w:pPr>
            <w:r w:rsidRPr="008F39E7">
              <w:t>February 27, 2019</w:t>
            </w:r>
          </w:p>
        </w:tc>
      </w:tr>
      <w:tr w:rsidR="00A33979" w:rsidRPr="008F39E7" w14:paraId="6287138E" w14:textId="77777777" w:rsidTr="00077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shd w:val="clear" w:color="auto" w:fill="5B7F95"/>
            <w:vAlign w:val="center"/>
          </w:tcPr>
          <w:p w14:paraId="5C26DD31" w14:textId="77777777" w:rsidR="00A33979" w:rsidRPr="008F39E7" w:rsidRDefault="00A33979" w:rsidP="003D219B">
            <w:r w:rsidRPr="003E783B">
              <w:t>Draft Budget Update Discussions</w:t>
            </w:r>
          </w:p>
        </w:tc>
        <w:tc>
          <w:tcPr>
            <w:tcW w:w="2695" w:type="dxa"/>
            <w:shd w:val="clear" w:color="auto" w:fill="5B7F95"/>
            <w:vAlign w:val="center"/>
          </w:tcPr>
          <w:p w14:paraId="5A008F52" w14:textId="77777777" w:rsidR="00A33979" w:rsidRPr="008F39E7" w:rsidRDefault="00A33979" w:rsidP="003D219B">
            <w:pPr>
              <w:cnfStyle w:val="000000100000" w:firstRow="0" w:lastRow="0" w:firstColumn="0" w:lastColumn="0" w:oddVBand="0" w:evenVBand="0" w:oddHBand="1" w:evenHBand="0" w:firstRowFirstColumn="0" w:firstRowLastColumn="0" w:lastRowFirstColumn="0" w:lastRowLastColumn="0"/>
            </w:pPr>
          </w:p>
        </w:tc>
      </w:tr>
      <w:tr w:rsidR="00A33979" w:rsidRPr="008F39E7" w14:paraId="77F89C6E"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5C555EA5" w14:textId="77777777" w:rsidR="00FA74E8" w:rsidRDefault="00A33979" w:rsidP="003D219B">
            <w:pPr>
              <w:rPr>
                <w:b w:val="0"/>
              </w:rPr>
            </w:pPr>
            <w:r w:rsidRPr="008F39E7">
              <w:rPr>
                <w:b w:val="0"/>
              </w:rPr>
              <w:t>President / Vice</w:t>
            </w:r>
            <w:r w:rsidR="00E26E07" w:rsidRPr="008F39E7">
              <w:rPr>
                <w:b w:val="0"/>
              </w:rPr>
              <w:t>-</w:t>
            </w:r>
            <w:r w:rsidRPr="008F39E7">
              <w:rPr>
                <w:b w:val="0"/>
              </w:rPr>
              <w:t>President Committee</w:t>
            </w:r>
            <w:r w:rsidR="0026354B">
              <w:rPr>
                <w:b w:val="0"/>
              </w:rPr>
              <w:t xml:space="preserve"> </w:t>
            </w:r>
          </w:p>
          <w:p w14:paraId="73061576" w14:textId="720E00C6" w:rsidR="00A33979" w:rsidRPr="008F39E7" w:rsidRDefault="00FA74E8" w:rsidP="003D219B">
            <w:pPr>
              <w:rPr>
                <w:b w:val="0"/>
              </w:rPr>
            </w:pPr>
            <w:r>
              <w:rPr>
                <w:b w:val="0"/>
              </w:rPr>
              <w:t>(</w:t>
            </w:r>
            <w:r w:rsidR="00BB306D">
              <w:rPr>
                <w:b w:val="0"/>
              </w:rPr>
              <w:t>Following</w:t>
            </w:r>
            <w:r>
              <w:rPr>
                <w:b w:val="0"/>
              </w:rPr>
              <w:t xml:space="preserve"> presentations made week of February 19, 2019)</w:t>
            </w:r>
          </w:p>
        </w:tc>
        <w:tc>
          <w:tcPr>
            <w:tcW w:w="2695" w:type="dxa"/>
            <w:vAlign w:val="center"/>
          </w:tcPr>
          <w:p w14:paraId="4B7238C4" w14:textId="1D3E449A" w:rsidR="00A33979" w:rsidRPr="008F39E7" w:rsidRDefault="00A33979" w:rsidP="003D219B">
            <w:pPr>
              <w:cnfStyle w:val="000000000000" w:firstRow="0" w:lastRow="0" w:firstColumn="0" w:lastColumn="0" w:oddVBand="0" w:evenVBand="0" w:oddHBand="0" w:evenHBand="0" w:firstRowFirstColumn="0" w:firstRowLastColumn="0" w:lastRowFirstColumn="0" w:lastRowLastColumn="0"/>
            </w:pPr>
            <w:r w:rsidRPr="008F39E7">
              <w:t>Feb</w:t>
            </w:r>
            <w:r w:rsidR="00EE3277" w:rsidRPr="008F39E7">
              <w:t>ruary</w:t>
            </w:r>
            <w:r w:rsidRPr="008F39E7">
              <w:t xml:space="preserve"> </w:t>
            </w:r>
            <w:r w:rsidR="00EE3277" w:rsidRPr="008F39E7">
              <w:t>27, 2019,</w:t>
            </w:r>
            <w:r w:rsidR="00E26E07" w:rsidRPr="008F39E7">
              <w:t xml:space="preserve"> </w:t>
            </w:r>
            <w:r w:rsidR="00EE3277" w:rsidRPr="008F39E7">
              <w:t>March 4</w:t>
            </w:r>
            <w:r w:rsidR="00FA74E8">
              <w:t>,</w:t>
            </w:r>
            <w:r w:rsidR="00EE3277" w:rsidRPr="008F39E7">
              <w:t xml:space="preserve"> </w:t>
            </w:r>
            <w:r w:rsidR="00BB306D" w:rsidRPr="008F39E7">
              <w:t>2019,</w:t>
            </w:r>
            <w:r w:rsidR="00FA74E8">
              <w:t xml:space="preserve"> and March 11, 2019</w:t>
            </w:r>
          </w:p>
        </w:tc>
      </w:tr>
      <w:tr w:rsidR="00A33979" w:rsidRPr="008F39E7" w14:paraId="64BF0760"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17961103" w14:textId="089EA4F1" w:rsidR="00A33979" w:rsidRPr="008F39E7" w:rsidRDefault="00E26E07" w:rsidP="003D219B">
            <w:pPr>
              <w:rPr>
                <w:b w:val="0"/>
              </w:rPr>
            </w:pPr>
            <w:r w:rsidRPr="008F39E7">
              <w:rPr>
                <w:b w:val="0"/>
              </w:rPr>
              <w:t>Finance and Property Committee</w:t>
            </w:r>
          </w:p>
        </w:tc>
        <w:tc>
          <w:tcPr>
            <w:tcW w:w="2695" w:type="dxa"/>
            <w:vAlign w:val="center"/>
          </w:tcPr>
          <w:p w14:paraId="73176D0A" w14:textId="22E58B61" w:rsidR="00A33979" w:rsidRPr="008F39E7" w:rsidRDefault="00A33979" w:rsidP="003D219B">
            <w:pPr>
              <w:cnfStyle w:val="000000100000" w:firstRow="0" w:lastRow="0" w:firstColumn="0" w:lastColumn="0" w:oddVBand="0" w:evenVBand="0" w:oddHBand="1" w:evenHBand="0" w:firstRowFirstColumn="0" w:firstRowLastColumn="0" w:lastRowFirstColumn="0" w:lastRowLastColumn="0"/>
            </w:pPr>
            <w:r w:rsidRPr="008F39E7">
              <w:t xml:space="preserve">March </w:t>
            </w:r>
            <w:r w:rsidR="00EE3277" w:rsidRPr="008F39E7">
              <w:t>15, 2019</w:t>
            </w:r>
          </w:p>
        </w:tc>
      </w:tr>
      <w:tr w:rsidR="00EE3277" w:rsidRPr="008F39E7" w14:paraId="741FCF5F"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0DC36C42" w14:textId="4CDF9D2C" w:rsidR="00EE3277" w:rsidRPr="008F39E7" w:rsidRDefault="00EE3277" w:rsidP="003D219B">
            <w:pPr>
              <w:rPr>
                <w:b w:val="0"/>
                <w:bCs w:val="0"/>
              </w:rPr>
            </w:pPr>
            <w:r w:rsidRPr="008F39E7">
              <w:rPr>
                <w:b w:val="0"/>
                <w:bCs w:val="0"/>
              </w:rPr>
              <w:t>Administrative Planning Group</w:t>
            </w:r>
          </w:p>
        </w:tc>
        <w:tc>
          <w:tcPr>
            <w:tcW w:w="2695" w:type="dxa"/>
            <w:vAlign w:val="center"/>
          </w:tcPr>
          <w:p w14:paraId="1D1CC78B" w14:textId="0D7F2F95" w:rsidR="00EE3277" w:rsidRPr="008F39E7" w:rsidRDefault="00EE3277" w:rsidP="003D219B">
            <w:pPr>
              <w:cnfStyle w:val="000000000000" w:firstRow="0" w:lastRow="0" w:firstColumn="0" w:lastColumn="0" w:oddVBand="0" w:evenVBand="0" w:oddHBand="0" w:evenHBand="0" w:firstRowFirstColumn="0" w:firstRowLastColumn="0" w:lastRowFirstColumn="0" w:lastRowLastColumn="0"/>
            </w:pPr>
            <w:r w:rsidRPr="008F39E7">
              <w:t>March 28, 2019</w:t>
            </w:r>
          </w:p>
        </w:tc>
      </w:tr>
      <w:tr w:rsidR="00EE3277" w:rsidRPr="008F39E7" w14:paraId="11811AF6"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0FE4FB83" w14:textId="2E12A455" w:rsidR="00EE3277" w:rsidRPr="008F39E7" w:rsidRDefault="00EE3277" w:rsidP="003D219B">
            <w:pPr>
              <w:rPr>
                <w:b w:val="0"/>
                <w:bCs w:val="0"/>
              </w:rPr>
            </w:pPr>
            <w:r w:rsidRPr="008F39E7">
              <w:rPr>
                <w:b w:val="0"/>
              </w:rPr>
              <w:t>Joint Academic Planning &amp; Budget / Provost’s Planning Group</w:t>
            </w:r>
          </w:p>
        </w:tc>
        <w:tc>
          <w:tcPr>
            <w:tcW w:w="2695" w:type="dxa"/>
            <w:vAlign w:val="center"/>
          </w:tcPr>
          <w:p w14:paraId="5E919154" w14:textId="1FF36F78" w:rsidR="00EE3277" w:rsidRPr="008F39E7" w:rsidRDefault="00EE3277" w:rsidP="003D219B">
            <w:pPr>
              <w:cnfStyle w:val="000000100000" w:firstRow="0" w:lastRow="0" w:firstColumn="0" w:lastColumn="0" w:oddVBand="0" w:evenVBand="0" w:oddHBand="1" w:evenHBand="0" w:firstRowFirstColumn="0" w:firstRowLastColumn="0" w:lastRowFirstColumn="0" w:lastRowLastColumn="0"/>
            </w:pPr>
            <w:r w:rsidRPr="008F39E7">
              <w:t>March 28, 2019</w:t>
            </w:r>
          </w:p>
        </w:tc>
      </w:tr>
      <w:tr w:rsidR="00EE3277" w:rsidRPr="008F39E7" w14:paraId="3B8B35FE"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6C2C5E2F" w14:textId="0179E905" w:rsidR="00EE3277" w:rsidRPr="008F39E7" w:rsidRDefault="00EE3277" w:rsidP="003D219B">
            <w:pPr>
              <w:rPr>
                <w:b w:val="0"/>
              </w:rPr>
            </w:pPr>
            <w:r w:rsidRPr="008F39E7">
              <w:rPr>
                <w:b w:val="0"/>
              </w:rPr>
              <w:t>Board of Governors</w:t>
            </w:r>
          </w:p>
        </w:tc>
        <w:tc>
          <w:tcPr>
            <w:tcW w:w="2695" w:type="dxa"/>
            <w:vAlign w:val="center"/>
          </w:tcPr>
          <w:p w14:paraId="7D2625F5" w14:textId="0291AB43" w:rsidR="00EE3277" w:rsidRPr="008F39E7" w:rsidRDefault="00EE3277" w:rsidP="003D219B">
            <w:pPr>
              <w:cnfStyle w:val="000000000000" w:firstRow="0" w:lastRow="0" w:firstColumn="0" w:lastColumn="0" w:oddVBand="0" w:evenVBand="0" w:oddHBand="0" w:evenHBand="0" w:firstRowFirstColumn="0" w:firstRowLastColumn="0" w:lastRowFirstColumn="0" w:lastRowLastColumn="0"/>
            </w:pPr>
            <w:r w:rsidRPr="008F39E7">
              <w:t>March 29, 2019</w:t>
            </w:r>
          </w:p>
        </w:tc>
      </w:tr>
      <w:tr w:rsidR="00EE3277" w:rsidRPr="008F39E7" w14:paraId="241D7BD6"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66A33334" w14:textId="1363827A" w:rsidR="00EE3277" w:rsidRPr="008F39E7" w:rsidRDefault="00EE3277" w:rsidP="003D219B">
            <w:pPr>
              <w:rPr>
                <w:b w:val="0"/>
              </w:rPr>
            </w:pPr>
            <w:r w:rsidRPr="008F39E7">
              <w:rPr>
                <w:b w:val="0"/>
              </w:rPr>
              <w:t>Senate</w:t>
            </w:r>
          </w:p>
        </w:tc>
        <w:tc>
          <w:tcPr>
            <w:tcW w:w="2695" w:type="dxa"/>
            <w:vAlign w:val="center"/>
          </w:tcPr>
          <w:p w14:paraId="1DF03B3E" w14:textId="537878C0" w:rsidR="00EE3277" w:rsidRPr="008F39E7" w:rsidRDefault="00EE3277" w:rsidP="003D219B">
            <w:pPr>
              <w:cnfStyle w:val="000000100000" w:firstRow="0" w:lastRow="0" w:firstColumn="0" w:lastColumn="0" w:oddVBand="0" w:evenVBand="0" w:oddHBand="1" w:evenHBand="0" w:firstRowFirstColumn="0" w:firstRowLastColumn="0" w:lastRowFirstColumn="0" w:lastRowLastColumn="0"/>
            </w:pPr>
            <w:r w:rsidRPr="008F39E7">
              <w:t>May 7, 2019</w:t>
            </w:r>
          </w:p>
        </w:tc>
      </w:tr>
      <w:tr w:rsidR="00EE3277" w:rsidRPr="008F39E7" w14:paraId="6BEE64BF"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1A249111" w14:textId="4DE2EFB3" w:rsidR="00EE3277" w:rsidRPr="008F39E7" w:rsidRDefault="00EE3277" w:rsidP="003D219B">
            <w:pPr>
              <w:rPr>
                <w:b w:val="0"/>
              </w:rPr>
            </w:pPr>
            <w:r w:rsidRPr="008F39E7">
              <w:rPr>
                <w:b w:val="0"/>
              </w:rPr>
              <w:t>Special TUFA Joint Committee</w:t>
            </w:r>
          </w:p>
        </w:tc>
        <w:tc>
          <w:tcPr>
            <w:tcW w:w="2695" w:type="dxa"/>
            <w:vAlign w:val="center"/>
          </w:tcPr>
          <w:p w14:paraId="07DE083B" w14:textId="5219CDCD" w:rsidR="00EE3277" w:rsidRPr="008F39E7" w:rsidRDefault="00EE3277" w:rsidP="003D219B">
            <w:pPr>
              <w:cnfStyle w:val="000000000000" w:firstRow="0" w:lastRow="0" w:firstColumn="0" w:lastColumn="0" w:oddVBand="0" w:evenVBand="0" w:oddHBand="0" w:evenHBand="0" w:firstRowFirstColumn="0" w:firstRowLastColumn="0" w:lastRowFirstColumn="0" w:lastRowLastColumn="0"/>
            </w:pPr>
            <w:r w:rsidRPr="008F39E7">
              <w:t>May 8, 2019</w:t>
            </w:r>
          </w:p>
        </w:tc>
      </w:tr>
      <w:tr w:rsidR="00A33979" w:rsidRPr="008F39E7" w14:paraId="5B8F83D9" w14:textId="77777777" w:rsidTr="000776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shd w:val="clear" w:color="auto" w:fill="5B7F95"/>
            <w:vAlign w:val="center"/>
          </w:tcPr>
          <w:p w14:paraId="38AA5DAC" w14:textId="77777777" w:rsidR="00A33979" w:rsidRPr="008F39E7" w:rsidRDefault="00A33979" w:rsidP="003D219B">
            <w:r w:rsidRPr="008F39E7">
              <w:t>Budget Approvals</w:t>
            </w:r>
          </w:p>
        </w:tc>
        <w:tc>
          <w:tcPr>
            <w:tcW w:w="2695" w:type="dxa"/>
            <w:shd w:val="clear" w:color="auto" w:fill="5B7F95"/>
            <w:vAlign w:val="center"/>
          </w:tcPr>
          <w:p w14:paraId="7AD86B0B" w14:textId="77777777" w:rsidR="00A33979" w:rsidRPr="008F39E7" w:rsidRDefault="00A33979" w:rsidP="003D219B">
            <w:pPr>
              <w:cnfStyle w:val="000000100000" w:firstRow="0" w:lastRow="0" w:firstColumn="0" w:lastColumn="0" w:oddVBand="0" w:evenVBand="0" w:oddHBand="1" w:evenHBand="0" w:firstRowFirstColumn="0" w:firstRowLastColumn="0" w:lastRowFirstColumn="0" w:lastRowLastColumn="0"/>
            </w:pPr>
          </w:p>
        </w:tc>
      </w:tr>
      <w:tr w:rsidR="00A33979" w:rsidRPr="008F39E7" w14:paraId="1FFC73D7" w14:textId="77777777" w:rsidTr="00D031FA">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2BC2099B" w14:textId="77777777" w:rsidR="00A33979" w:rsidRPr="008F39E7" w:rsidRDefault="00A33979" w:rsidP="003D219B">
            <w:pPr>
              <w:rPr>
                <w:b w:val="0"/>
              </w:rPr>
            </w:pPr>
            <w:r w:rsidRPr="008F39E7">
              <w:rPr>
                <w:b w:val="0"/>
              </w:rPr>
              <w:t>Finance and Property Committee</w:t>
            </w:r>
          </w:p>
        </w:tc>
        <w:tc>
          <w:tcPr>
            <w:tcW w:w="2695" w:type="dxa"/>
            <w:vAlign w:val="center"/>
          </w:tcPr>
          <w:p w14:paraId="4DF736C1" w14:textId="22801B66" w:rsidR="00A33979" w:rsidRPr="008F39E7" w:rsidRDefault="00A33979" w:rsidP="003D219B">
            <w:pPr>
              <w:cnfStyle w:val="000000000000" w:firstRow="0" w:lastRow="0" w:firstColumn="0" w:lastColumn="0" w:oddVBand="0" w:evenVBand="0" w:oddHBand="0" w:evenHBand="0" w:firstRowFirstColumn="0" w:firstRowLastColumn="0" w:lastRowFirstColumn="0" w:lastRowLastColumn="0"/>
            </w:pPr>
            <w:r w:rsidRPr="008F39E7">
              <w:t xml:space="preserve">April </w:t>
            </w:r>
            <w:r w:rsidR="00E26E07" w:rsidRPr="008F39E7">
              <w:t>25, 201</w:t>
            </w:r>
            <w:r w:rsidR="00016182" w:rsidRPr="008F39E7">
              <w:t>9</w:t>
            </w:r>
          </w:p>
        </w:tc>
      </w:tr>
      <w:tr w:rsidR="00A33979" w:rsidRPr="008F39E7" w14:paraId="31803A5A" w14:textId="77777777" w:rsidTr="00D031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5" w:type="dxa"/>
            <w:gridSpan w:val="2"/>
            <w:vAlign w:val="center"/>
          </w:tcPr>
          <w:p w14:paraId="32F4BDE6" w14:textId="77777777" w:rsidR="00A33979" w:rsidRPr="008F39E7" w:rsidRDefault="00A33979" w:rsidP="003D219B">
            <w:pPr>
              <w:rPr>
                <w:b w:val="0"/>
              </w:rPr>
            </w:pPr>
            <w:r w:rsidRPr="008F39E7">
              <w:rPr>
                <w:b w:val="0"/>
              </w:rPr>
              <w:t>Board of Governors</w:t>
            </w:r>
          </w:p>
        </w:tc>
        <w:tc>
          <w:tcPr>
            <w:tcW w:w="2695" w:type="dxa"/>
            <w:vAlign w:val="center"/>
          </w:tcPr>
          <w:p w14:paraId="7225DC45" w14:textId="1D17F873" w:rsidR="00A33979" w:rsidRPr="008F39E7" w:rsidRDefault="00A33979" w:rsidP="003D219B">
            <w:pPr>
              <w:cnfStyle w:val="000000100000" w:firstRow="0" w:lastRow="0" w:firstColumn="0" w:lastColumn="0" w:oddVBand="0" w:evenVBand="0" w:oddHBand="1" w:evenHBand="0" w:firstRowFirstColumn="0" w:firstRowLastColumn="0" w:lastRowFirstColumn="0" w:lastRowLastColumn="0"/>
            </w:pPr>
            <w:r w:rsidRPr="008F39E7">
              <w:t>May 1</w:t>
            </w:r>
            <w:r w:rsidR="00016182" w:rsidRPr="008F39E7">
              <w:t>0, 2019</w:t>
            </w:r>
          </w:p>
        </w:tc>
      </w:tr>
    </w:tbl>
    <w:p w14:paraId="26291145" w14:textId="77777777" w:rsidR="003D04B8" w:rsidRDefault="003D04B8" w:rsidP="003D04B8">
      <w:pPr>
        <w:pStyle w:val="Heading1"/>
        <w:rPr>
          <w:b/>
          <w:bCs/>
          <w:color w:val="385623" w:themeColor="accent6" w:themeShade="80"/>
        </w:rPr>
      </w:pPr>
    </w:p>
    <w:p w14:paraId="27A22BD2" w14:textId="10883CF1" w:rsidR="000E0CE1" w:rsidRDefault="000E0CE1" w:rsidP="003D04B8">
      <w:pPr>
        <w:pStyle w:val="Heading1"/>
        <w:rPr>
          <w:b/>
          <w:bCs/>
          <w:color w:val="385623" w:themeColor="accent6" w:themeShade="80"/>
        </w:rPr>
      </w:pPr>
      <w:r w:rsidRPr="003D04B8">
        <w:rPr>
          <w:b/>
          <w:bCs/>
          <w:color w:val="385623" w:themeColor="accent6" w:themeShade="80"/>
        </w:rPr>
        <w:t>201</w:t>
      </w:r>
      <w:r w:rsidR="00EE3277" w:rsidRPr="003D04B8">
        <w:rPr>
          <w:b/>
          <w:bCs/>
          <w:color w:val="385623" w:themeColor="accent6" w:themeShade="80"/>
        </w:rPr>
        <w:t>8</w:t>
      </w:r>
      <w:r w:rsidRPr="003D04B8">
        <w:rPr>
          <w:b/>
          <w:bCs/>
          <w:color w:val="385623" w:themeColor="accent6" w:themeShade="80"/>
        </w:rPr>
        <w:t>/201</w:t>
      </w:r>
      <w:r w:rsidR="00EE3277" w:rsidRPr="003D04B8">
        <w:rPr>
          <w:b/>
          <w:bCs/>
          <w:color w:val="385623" w:themeColor="accent6" w:themeShade="80"/>
        </w:rPr>
        <w:t>9</w:t>
      </w:r>
      <w:r w:rsidRPr="003D04B8">
        <w:rPr>
          <w:b/>
          <w:bCs/>
          <w:color w:val="385623" w:themeColor="accent6" w:themeShade="80"/>
        </w:rPr>
        <w:t xml:space="preserve"> </w:t>
      </w:r>
      <w:r w:rsidR="00FD04D4" w:rsidRPr="003D04B8">
        <w:rPr>
          <w:b/>
          <w:bCs/>
          <w:color w:val="385623" w:themeColor="accent6" w:themeShade="80"/>
        </w:rPr>
        <w:t>FINANCIAL UPDATE</w:t>
      </w:r>
      <w:r w:rsidR="00E26E07" w:rsidRPr="003D04B8">
        <w:rPr>
          <w:b/>
          <w:bCs/>
          <w:color w:val="385623" w:themeColor="accent6" w:themeShade="80"/>
        </w:rPr>
        <w:t xml:space="preserve"> </w:t>
      </w:r>
    </w:p>
    <w:p w14:paraId="559697DB" w14:textId="77777777" w:rsidR="003D04B8" w:rsidRPr="003D04B8" w:rsidRDefault="003D04B8" w:rsidP="003D04B8"/>
    <w:p w14:paraId="47FB2335" w14:textId="3B71356A" w:rsidR="00192976" w:rsidRPr="00B76012" w:rsidRDefault="000E0CE1" w:rsidP="00BB306D">
      <w:r w:rsidRPr="00B76012">
        <w:t>Based on preliminary estimates</w:t>
      </w:r>
      <w:r w:rsidR="00B76012" w:rsidRPr="00B76012">
        <w:t xml:space="preserve"> at the time of budget approval</w:t>
      </w:r>
      <w:r w:rsidR="003A47F3">
        <w:t xml:space="preserve"> in May 2019 and</w:t>
      </w:r>
      <w:r w:rsidRPr="00B76012">
        <w:t xml:space="preserve"> subject to year-end adjustments, Trent University </w:t>
      </w:r>
      <w:r w:rsidR="00B76012" w:rsidRPr="00B76012">
        <w:t>was</w:t>
      </w:r>
      <w:r w:rsidRPr="00B76012">
        <w:t xml:space="preserve"> projecting an operating surplus of $</w:t>
      </w:r>
      <w:r w:rsidR="00B76012" w:rsidRPr="00B76012">
        <w:t>4.7</w:t>
      </w:r>
      <w:r w:rsidRPr="00B76012">
        <w:t xml:space="preserve"> million in the 201</w:t>
      </w:r>
      <w:r w:rsidR="00B76012" w:rsidRPr="00B76012">
        <w:t>8</w:t>
      </w:r>
      <w:r w:rsidRPr="00B76012">
        <w:t>/201</w:t>
      </w:r>
      <w:r w:rsidR="00B76012" w:rsidRPr="00B76012">
        <w:t>9</w:t>
      </w:r>
      <w:r w:rsidRPr="00B76012">
        <w:t xml:space="preserve"> fiscal year</w:t>
      </w:r>
      <w:r w:rsidR="001A5BBB" w:rsidRPr="00B76012">
        <w:t xml:space="preserve"> compared to the Board-approved </w:t>
      </w:r>
      <w:r w:rsidR="00B76012" w:rsidRPr="00B76012">
        <w:t xml:space="preserve">budget </w:t>
      </w:r>
      <w:r w:rsidR="001A5BBB" w:rsidRPr="00B76012">
        <w:t>of $15</w:t>
      </w:r>
      <w:r w:rsidR="00B76012" w:rsidRPr="00B76012">
        <w:t>7</w:t>
      </w:r>
      <w:r w:rsidR="001A5BBB" w:rsidRPr="00B76012">
        <w:t>,000</w:t>
      </w:r>
      <w:r w:rsidRPr="00B76012">
        <w:t xml:space="preserve">.  </w:t>
      </w:r>
    </w:p>
    <w:p w14:paraId="7DD3C7F5" w14:textId="65A73040" w:rsidR="00E31655" w:rsidRDefault="000C1301" w:rsidP="00BB306D">
      <w:r w:rsidRPr="00B76012">
        <w:t xml:space="preserve">This </w:t>
      </w:r>
      <w:r w:rsidR="001A5BBB" w:rsidRPr="00B76012">
        <w:t xml:space="preserve">improved financial </w:t>
      </w:r>
      <w:r w:rsidR="00E135A5">
        <w:t>forecast</w:t>
      </w:r>
      <w:r w:rsidR="001A5BBB" w:rsidRPr="00B76012">
        <w:t xml:space="preserve"> </w:t>
      </w:r>
      <w:r w:rsidR="00B76012" w:rsidRPr="00B76012">
        <w:t>wa</w:t>
      </w:r>
      <w:r w:rsidR="001A5BBB" w:rsidRPr="00B76012">
        <w:t>s largely attributable to enrolment growth</w:t>
      </w:r>
      <w:r w:rsidR="00B76012" w:rsidRPr="00B76012">
        <w:t xml:space="preserve">. </w:t>
      </w:r>
      <w:r w:rsidR="001A5BBB" w:rsidRPr="00B76012">
        <w:t xml:space="preserve">Undergraduate enrolment increased by </w:t>
      </w:r>
      <w:r w:rsidR="00B76012" w:rsidRPr="00B76012">
        <w:t>610</w:t>
      </w:r>
      <w:r w:rsidR="001A5BBB" w:rsidRPr="00B76012">
        <w:t xml:space="preserve"> FTEs from 201</w:t>
      </w:r>
      <w:r w:rsidR="00B76012" w:rsidRPr="00B76012">
        <w:t>7</w:t>
      </w:r>
      <w:r w:rsidR="001A5BBB" w:rsidRPr="00B76012">
        <w:t>/201</w:t>
      </w:r>
      <w:r w:rsidR="00B76012" w:rsidRPr="00B76012">
        <w:t>8</w:t>
      </w:r>
      <w:r w:rsidR="001A5BBB" w:rsidRPr="00B76012">
        <w:t xml:space="preserve">, an increase of </w:t>
      </w:r>
      <w:r w:rsidR="00B76012" w:rsidRPr="00B76012">
        <w:t>316</w:t>
      </w:r>
      <w:r w:rsidR="001A5BBB" w:rsidRPr="00B76012">
        <w:t xml:space="preserve"> FTEs more than anticipated in the operating budget.  </w:t>
      </w:r>
      <w:r w:rsidR="001E18EE" w:rsidRPr="00B76012">
        <w:t>Graduate</w:t>
      </w:r>
      <w:r w:rsidR="001A5BBB" w:rsidRPr="00B76012">
        <w:t xml:space="preserve"> enrolment increased by </w:t>
      </w:r>
      <w:r w:rsidR="00B76012" w:rsidRPr="00B76012">
        <w:t>8</w:t>
      </w:r>
      <w:r w:rsidR="001A5BBB" w:rsidRPr="00B76012">
        <w:t>0 FTEs from 201</w:t>
      </w:r>
      <w:r w:rsidR="00B76012" w:rsidRPr="00B76012">
        <w:t>7</w:t>
      </w:r>
      <w:r w:rsidR="001A5BBB" w:rsidRPr="00B76012">
        <w:t>/201</w:t>
      </w:r>
      <w:r w:rsidR="00B76012" w:rsidRPr="00B76012">
        <w:t>8</w:t>
      </w:r>
      <w:r w:rsidR="001A5BBB" w:rsidRPr="00B76012">
        <w:t xml:space="preserve">, which was </w:t>
      </w:r>
      <w:r w:rsidR="00B76012" w:rsidRPr="00B76012">
        <w:t>80</w:t>
      </w:r>
      <w:r w:rsidR="001A5BBB" w:rsidRPr="00B76012">
        <w:t xml:space="preserve"> FTEs more than expected in</w:t>
      </w:r>
      <w:r w:rsidR="001E18EE" w:rsidRPr="00B76012">
        <w:t xml:space="preserve"> the budget.</w:t>
      </w:r>
      <w:r w:rsidR="00B76012" w:rsidRPr="00B76012">
        <w:t xml:space="preserve">  Total 2018/2019 </w:t>
      </w:r>
      <w:r w:rsidR="003A47F3">
        <w:t xml:space="preserve">enrolment </w:t>
      </w:r>
      <w:r w:rsidR="00B76012" w:rsidRPr="00B76012">
        <w:t>increased to 9,650 FTEs,</w:t>
      </w:r>
      <w:r w:rsidR="00B76012">
        <w:t xml:space="preserve"> an increase of 4.3% over the budget, a 7.7% increase from 2017/2018, and represents 15.5% growth since 2016/2017</w:t>
      </w:r>
      <w:r w:rsidR="003A47F3">
        <w:t>.  This enrolment growth was experienced at both campuses with Durham’s growth increasing at a faster rate overall.  International undergraduate enrolment has grown to 8.0% of the University’s total undergraduate student population.</w:t>
      </w:r>
    </w:p>
    <w:p w14:paraId="1F4D9E14" w14:textId="46F4B423" w:rsidR="00E31655" w:rsidRDefault="00E135A5" w:rsidP="002E19CF">
      <w:pPr>
        <w:jc w:val="center"/>
        <w:rPr>
          <w:rFonts w:ascii="Arial" w:hAnsi="Arial" w:cs="Arial"/>
          <w:color w:val="000000" w:themeColor="text1"/>
          <w:sz w:val="24"/>
          <w:szCs w:val="24"/>
        </w:rPr>
      </w:pPr>
      <w:r w:rsidRPr="00E135A5">
        <w:rPr>
          <w:rFonts w:ascii="Arial" w:hAnsi="Arial" w:cs="Arial"/>
          <w:noProof/>
          <w:color w:val="000000" w:themeColor="text1"/>
          <w:sz w:val="24"/>
          <w:szCs w:val="24"/>
          <w:lang w:val="en-US" w:eastAsia="en-US"/>
        </w:rPr>
        <mc:AlternateContent>
          <mc:Choice Requires="wps">
            <w:drawing>
              <wp:anchor distT="45720" distB="45720" distL="114300" distR="114300" simplePos="0" relativeHeight="251675648" behindDoc="0" locked="0" layoutInCell="1" allowOverlap="1" wp14:anchorId="3C8CA12D" wp14:editId="00C7ED7A">
                <wp:simplePos x="0" y="0"/>
                <wp:positionH relativeFrom="column">
                  <wp:posOffset>2581275</wp:posOffset>
                </wp:positionH>
                <wp:positionV relativeFrom="paragraph">
                  <wp:posOffset>551816</wp:posOffset>
                </wp:positionV>
                <wp:extent cx="635000" cy="273050"/>
                <wp:effectExtent l="0" t="0" r="0" b="0"/>
                <wp:wrapNone/>
                <wp:docPr id="1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58E8F318" w14:textId="193BAB07" w:rsidR="00DC28C6" w:rsidRPr="00E135A5" w:rsidRDefault="00DC28C6" w:rsidP="00E135A5">
                            <w:pPr>
                              <w:rPr>
                                <w:rFonts w:ascii="Arial" w:hAnsi="Arial" w:cs="Arial"/>
                                <w:b/>
                                <w:sz w:val="24"/>
                                <w:szCs w:val="24"/>
                              </w:rPr>
                            </w:pPr>
                            <w:r>
                              <w:rPr>
                                <w:rFonts w:ascii="Arial" w:hAnsi="Arial" w:cs="Arial"/>
                                <w:b/>
                                <w:sz w:val="24"/>
                                <w:szCs w:val="24"/>
                              </w:rPr>
                              <w:t>8,960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8CA12D" id="_x0000_t202" coordsize="21600,21600" o:spt="202" path="m,l,21600r21600,l21600,xe">
                <v:stroke joinstyle="miter"/>
                <v:path gradientshapeok="t" o:connecttype="rect"/>
              </v:shapetype>
              <v:shape id="Text Box 2" o:spid="_x0000_s1026" type="#_x0000_t202" alt="&quot;&quot;" style="position:absolute;left:0;text-align:left;margin-left:203.25pt;margin-top:43.45pt;width:50pt;height:2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" stroked="f">
                <v:fill opacity="0"/>
                <v:textbox>
                  <w:txbxContent>
                    <w:p w14:paraId="58E8F318" w14:textId="193BAB07" w:rsidR="00DC28C6" w:rsidRPr="00E135A5" w:rsidRDefault="00DC28C6" w:rsidP="00E135A5">
                      <w:pPr>
                        <w:rPr>
                          <w:rFonts w:ascii="Arial" w:hAnsi="Arial" w:cs="Arial"/>
                          <w:b/>
                          <w:sz w:val="24"/>
                          <w:szCs w:val="24"/>
                        </w:rPr>
                      </w:pPr>
                      <w:r>
                        <w:rPr>
                          <w:rFonts w:ascii="Arial" w:hAnsi="Arial" w:cs="Arial"/>
                          <w:b/>
                          <w:sz w:val="24"/>
                          <w:szCs w:val="24"/>
                        </w:rPr>
                        <w:t>8,960</w:t>
                      </w:r>
                    </w:p>
                  </w:txbxContent>
                </v:textbox>
              </v:shape>
            </w:pict>
          </mc:Fallback>
        </mc:AlternateContent>
      </w:r>
      <w:r w:rsidRPr="00E135A5">
        <w:rPr>
          <w:rFonts w:ascii="Arial" w:hAnsi="Arial" w:cs="Arial"/>
          <w:noProof/>
          <w:color w:val="000000" w:themeColor="text1"/>
          <w:sz w:val="24"/>
          <w:szCs w:val="24"/>
          <w:lang w:val="en-US" w:eastAsia="en-US"/>
        </w:rPr>
        <mc:AlternateContent>
          <mc:Choice Requires="wps">
            <w:drawing>
              <wp:anchor distT="45720" distB="45720" distL="114300" distR="114300" simplePos="0" relativeHeight="251679744" behindDoc="0" locked="0" layoutInCell="1" allowOverlap="1" wp14:anchorId="6CDD3B80" wp14:editId="45ECB765">
                <wp:simplePos x="0" y="0"/>
                <wp:positionH relativeFrom="column">
                  <wp:posOffset>4210050</wp:posOffset>
                </wp:positionH>
                <wp:positionV relativeFrom="paragraph">
                  <wp:posOffset>455295</wp:posOffset>
                </wp:positionV>
                <wp:extent cx="635000" cy="273050"/>
                <wp:effectExtent l="0" t="0" r="0" b="0"/>
                <wp:wrapNone/>
                <wp:docPr id="16"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CEAA436" w14:textId="711078FD" w:rsidR="00DC28C6" w:rsidRPr="00E135A5" w:rsidRDefault="00DC28C6" w:rsidP="00E135A5">
                            <w:pPr>
                              <w:rPr>
                                <w:rFonts w:ascii="Arial" w:hAnsi="Arial" w:cs="Arial"/>
                                <w:b/>
                                <w:sz w:val="24"/>
                                <w:szCs w:val="24"/>
                              </w:rPr>
                            </w:pPr>
                            <w:r>
                              <w:rPr>
                                <w:rFonts w:ascii="Arial" w:hAnsi="Arial" w:cs="Arial"/>
                                <w:b/>
                                <w:sz w:val="24"/>
                                <w:szCs w:val="24"/>
                              </w:rPr>
                              <w:t>9,650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D3B80" id="_x0000_s1027" type="#_x0000_t202" alt="&quot;&quot;" style="position:absolute;left:0;text-align:left;margin-left:331.5pt;margin-top:35.85pt;width:50pt;height:2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" stroked="f">
                <v:fill opacity="0"/>
                <v:textbox>
                  <w:txbxContent>
                    <w:p w14:paraId="1CEAA436" w14:textId="711078FD" w:rsidR="00DC28C6" w:rsidRPr="00E135A5" w:rsidRDefault="00DC28C6" w:rsidP="00E135A5">
                      <w:pPr>
                        <w:rPr>
                          <w:rFonts w:ascii="Arial" w:hAnsi="Arial" w:cs="Arial"/>
                          <w:b/>
                          <w:sz w:val="24"/>
                          <w:szCs w:val="24"/>
                        </w:rPr>
                      </w:pPr>
                      <w:r>
                        <w:rPr>
                          <w:rFonts w:ascii="Arial" w:hAnsi="Arial" w:cs="Arial"/>
                          <w:b/>
                          <w:sz w:val="24"/>
                          <w:szCs w:val="24"/>
                        </w:rPr>
                        <w:t>9,650</w:t>
                      </w:r>
                    </w:p>
                  </w:txbxContent>
                </v:textbox>
              </v:shape>
            </w:pict>
          </mc:Fallback>
        </mc:AlternateContent>
      </w:r>
      <w:r w:rsidRPr="00E135A5">
        <w:rPr>
          <w:rFonts w:ascii="Arial" w:hAnsi="Arial" w:cs="Arial"/>
          <w:noProof/>
          <w:color w:val="000000" w:themeColor="text1"/>
          <w:sz w:val="24"/>
          <w:szCs w:val="24"/>
          <w:lang w:val="en-US" w:eastAsia="en-US"/>
        </w:rPr>
        <mc:AlternateContent>
          <mc:Choice Requires="wps">
            <w:drawing>
              <wp:anchor distT="45720" distB="45720" distL="114300" distR="114300" simplePos="0" relativeHeight="251677696" behindDoc="0" locked="0" layoutInCell="1" allowOverlap="1" wp14:anchorId="5301A5B5" wp14:editId="2D237FDB">
                <wp:simplePos x="0" y="0"/>
                <wp:positionH relativeFrom="column">
                  <wp:posOffset>3397250</wp:posOffset>
                </wp:positionH>
                <wp:positionV relativeFrom="paragraph">
                  <wp:posOffset>506095</wp:posOffset>
                </wp:positionV>
                <wp:extent cx="635000" cy="273050"/>
                <wp:effectExtent l="0" t="0" r="0" b="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191A7AC3" w14:textId="7FC5143C" w:rsidR="00DC28C6" w:rsidRPr="00E135A5" w:rsidRDefault="00DC28C6" w:rsidP="00E135A5">
                            <w:pPr>
                              <w:rPr>
                                <w:rFonts w:ascii="Arial" w:hAnsi="Arial" w:cs="Arial"/>
                                <w:b/>
                                <w:sz w:val="24"/>
                                <w:szCs w:val="24"/>
                              </w:rPr>
                            </w:pPr>
                            <w:r>
                              <w:rPr>
                                <w:rFonts w:ascii="Arial" w:hAnsi="Arial" w:cs="Arial"/>
                                <w:b/>
                                <w:sz w:val="24"/>
                                <w:szCs w:val="24"/>
                              </w:rPr>
                              <w:t>9,254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1A5B5" id="_x0000_s1028" type="#_x0000_t202" alt="&quot;&quot;" style="position:absolute;left:0;text-align:left;margin-left:267.5pt;margin-top:39.85pt;width:50pt;height:2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" stroked="f">
                <v:fill opacity="0"/>
                <v:textbox>
                  <w:txbxContent>
                    <w:p w14:paraId="191A7AC3" w14:textId="7FC5143C" w:rsidR="00DC28C6" w:rsidRPr="00E135A5" w:rsidRDefault="00DC28C6" w:rsidP="00E135A5">
                      <w:pPr>
                        <w:rPr>
                          <w:rFonts w:ascii="Arial" w:hAnsi="Arial" w:cs="Arial"/>
                          <w:b/>
                          <w:sz w:val="24"/>
                          <w:szCs w:val="24"/>
                        </w:rPr>
                      </w:pPr>
                      <w:r>
                        <w:rPr>
                          <w:rFonts w:ascii="Arial" w:hAnsi="Arial" w:cs="Arial"/>
                          <w:b/>
                          <w:sz w:val="24"/>
                          <w:szCs w:val="24"/>
                        </w:rPr>
                        <w:t>9,254</w:t>
                      </w:r>
                    </w:p>
                  </w:txbxContent>
                </v:textbox>
              </v:shape>
            </w:pict>
          </mc:Fallback>
        </mc:AlternateContent>
      </w:r>
      <w:r w:rsidRPr="00E135A5">
        <w:rPr>
          <w:rFonts w:ascii="Arial" w:hAnsi="Arial" w:cs="Arial"/>
          <w:noProof/>
          <w:color w:val="000000" w:themeColor="text1"/>
          <w:sz w:val="24"/>
          <w:szCs w:val="24"/>
          <w:lang w:val="en-US" w:eastAsia="en-US"/>
        </w:rPr>
        <mc:AlternateContent>
          <mc:Choice Requires="wps">
            <w:drawing>
              <wp:anchor distT="45720" distB="45720" distL="114300" distR="114300" simplePos="0" relativeHeight="251673600" behindDoc="0" locked="0" layoutInCell="1" allowOverlap="1" wp14:anchorId="399B122D" wp14:editId="2544786E">
                <wp:simplePos x="0" y="0"/>
                <wp:positionH relativeFrom="column">
                  <wp:posOffset>1758950</wp:posOffset>
                </wp:positionH>
                <wp:positionV relativeFrom="paragraph">
                  <wp:posOffset>588645</wp:posOffset>
                </wp:positionV>
                <wp:extent cx="635000" cy="273050"/>
                <wp:effectExtent l="0" t="0" r="0" b="0"/>
                <wp:wrapNone/>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73050"/>
                        </a:xfrm>
                        <a:prstGeom prst="rect">
                          <a:avLst/>
                        </a:prstGeom>
                        <a:solidFill>
                          <a:srgbClr val="FFFFFF">
                            <a:alpha val="0"/>
                          </a:srgbClr>
                        </a:solidFill>
                        <a:ln w="9525">
                          <a:noFill/>
                          <a:miter lim="800000"/>
                          <a:headEnd/>
                          <a:tailEnd/>
                        </a:ln>
                      </wps:spPr>
                      <wps:txbx>
                        <w:txbxContent>
                          <w:p w14:paraId="60ED1D5D" w14:textId="62DF2A5D" w:rsidR="00DC28C6" w:rsidRPr="00E135A5" w:rsidRDefault="00DC28C6">
                            <w:pPr>
                              <w:rPr>
                                <w:rFonts w:ascii="Arial" w:hAnsi="Arial" w:cs="Arial"/>
                                <w:b/>
                                <w:sz w:val="24"/>
                                <w:szCs w:val="24"/>
                              </w:rPr>
                            </w:pPr>
                            <w:r w:rsidRPr="00E135A5">
                              <w:rPr>
                                <w:rFonts w:ascii="Arial" w:hAnsi="Arial" w:cs="Arial"/>
                                <w:b/>
                                <w:sz w:val="24"/>
                                <w:szCs w:val="24"/>
                              </w:rPr>
                              <w:t>8,356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122D" id="_x0000_s1029" type="#_x0000_t202" alt="&quot;&quot;" style="position:absolute;left:0;text-align:left;margin-left:138.5pt;margin-top:46.35pt;width:50pt;height:2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" stroked="f">
                <v:fill opacity="0"/>
                <v:textbox>
                  <w:txbxContent>
                    <w:p w14:paraId="60ED1D5D" w14:textId="62DF2A5D" w:rsidR="00DC28C6" w:rsidRPr="00E135A5" w:rsidRDefault="00DC28C6">
                      <w:pPr>
                        <w:rPr>
                          <w:rFonts w:ascii="Arial" w:hAnsi="Arial" w:cs="Arial"/>
                          <w:b/>
                          <w:sz w:val="24"/>
                          <w:szCs w:val="24"/>
                        </w:rPr>
                      </w:pPr>
                      <w:r w:rsidRPr="00E135A5">
                        <w:rPr>
                          <w:rFonts w:ascii="Arial" w:hAnsi="Arial" w:cs="Arial"/>
                          <w:b/>
                          <w:sz w:val="24"/>
                          <w:szCs w:val="24"/>
                        </w:rPr>
                        <w:t>8,356</w:t>
                      </w:r>
                    </w:p>
                  </w:txbxContent>
                </v:textbox>
              </v:shape>
            </w:pict>
          </mc:Fallback>
        </mc:AlternateContent>
      </w:r>
      <w:r w:rsidR="00E31655" w:rsidRPr="007F3875">
        <w:rPr>
          <w:rFonts w:ascii="Arial" w:hAnsi="Arial" w:cs="Arial"/>
          <w:noProof/>
          <w:color w:val="FFFFFF" w:themeColor="background1"/>
          <w:sz w:val="24"/>
          <w:szCs w:val="24"/>
          <w:lang w:val="en-US" w:eastAsia="en-US"/>
        </w:rPr>
        <w:drawing>
          <wp:inline distT="0" distB="0" distL="0" distR="0" wp14:anchorId="6197570C" wp14:editId="56FE7256">
            <wp:extent cx="5902325" cy="2895600"/>
            <wp:effectExtent l="0" t="0" r="3175" b="0"/>
            <wp:docPr id="14" name="Chart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89BD00" w14:textId="12A9EF57" w:rsidR="002A2DF8" w:rsidRPr="00DA4F85" w:rsidRDefault="001A5BBB" w:rsidP="001042DF">
      <w:r w:rsidRPr="00DA4F85">
        <w:t xml:space="preserve">As a result of this enrolment growth, </w:t>
      </w:r>
      <w:r w:rsidR="00E135A5" w:rsidRPr="00DA4F85">
        <w:t>the University was anticipating $6.8 million in enrolment growth funding</w:t>
      </w:r>
      <w:r w:rsidR="00DA4F85">
        <w:t xml:space="preserve"> for 2018/2019, $2.2 million more than budgeted.  </w:t>
      </w:r>
      <w:r w:rsidR="00FA54B0" w:rsidRPr="00DA4F85">
        <w:t>In addition,</w:t>
      </w:r>
      <w:r w:rsidRPr="00DA4F85">
        <w:t xml:space="preserve"> </w:t>
      </w:r>
      <w:r w:rsidR="00192976" w:rsidRPr="00DA4F85">
        <w:t>tuition revenue</w:t>
      </w:r>
      <w:r w:rsidR="00DA4F85">
        <w:t xml:space="preserve"> net of increased student financial aid</w:t>
      </w:r>
      <w:r w:rsidR="00192976" w:rsidRPr="00DA4F85">
        <w:t xml:space="preserve"> </w:t>
      </w:r>
      <w:r w:rsidR="00DA4F85">
        <w:t>was</w:t>
      </w:r>
      <w:r w:rsidR="00FA54B0" w:rsidRPr="00DA4F85">
        <w:t xml:space="preserve"> expected to </w:t>
      </w:r>
      <w:r w:rsidR="00DA4F85">
        <w:t>be $3.0 million more than planned</w:t>
      </w:r>
      <w:r w:rsidR="00FA54B0" w:rsidRPr="00DA4F85">
        <w:t xml:space="preserve">.  </w:t>
      </w:r>
    </w:p>
    <w:p w14:paraId="78132987" w14:textId="748CB7E8" w:rsidR="002A2DF8" w:rsidRDefault="002A2DF8" w:rsidP="001042DF">
      <w:r w:rsidRPr="008F76A0">
        <w:t>O</w:t>
      </w:r>
      <w:r w:rsidR="00192976" w:rsidRPr="008F76A0">
        <w:t xml:space="preserve">ther factors </w:t>
      </w:r>
      <w:r w:rsidR="00FA54B0" w:rsidRPr="008F76A0">
        <w:t>that contributed to the year-end financial projections</w:t>
      </w:r>
      <w:r w:rsidRPr="008F76A0">
        <w:t xml:space="preserve"> include</w:t>
      </w:r>
      <w:r w:rsidR="00DA4F85" w:rsidRPr="008F76A0">
        <w:t>d</w:t>
      </w:r>
      <w:r w:rsidR="008F76A0" w:rsidRPr="008F76A0">
        <w:t xml:space="preserve"> additional employee future benefit costs of $315,000 above the Board-approved budget related to the University’s pension plans</w:t>
      </w:r>
      <w:proofErr w:type="gramStart"/>
      <w:r w:rsidR="008F76A0" w:rsidRPr="008F76A0">
        <w:t>, in particular, higher</w:t>
      </w:r>
      <w:proofErr w:type="gramEnd"/>
      <w:r w:rsidR="008F76A0" w:rsidRPr="008F76A0">
        <w:t xml:space="preserve"> than planned SRA contributions, and an increase of $442,000 in pension benefits guarantee fund payments.</w:t>
      </w:r>
    </w:p>
    <w:p w14:paraId="5578336B" w14:textId="7F597EB0" w:rsidR="003D04B8" w:rsidRDefault="003D04B8" w:rsidP="001042DF"/>
    <w:p w14:paraId="275E1894" w14:textId="5FE1BC4E" w:rsidR="003D04B8" w:rsidRDefault="003D04B8" w:rsidP="001042DF"/>
    <w:p w14:paraId="7201F4AB" w14:textId="50143962" w:rsidR="003D04B8" w:rsidRDefault="003D04B8" w:rsidP="001042DF"/>
    <w:p w14:paraId="32EA48C8" w14:textId="77777777" w:rsidR="003D04B8" w:rsidRPr="008F76A0" w:rsidRDefault="003D04B8" w:rsidP="001042DF"/>
    <w:tbl>
      <w:tblPr>
        <w:tblStyle w:val="TableGrid"/>
        <w:tblW w:w="9350" w:type="dxa"/>
        <w:tblLayout w:type="fixed"/>
        <w:tblLook w:val="0420" w:firstRow="1" w:lastRow="0" w:firstColumn="0" w:lastColumn="0" w:noHBand="0" w:noVBand="1"/>
      </w:tblPr>
      <w:tblGrid>
        <w:gridCol w:w="3342"/>
        <w:gridCol w:w="1502"/>
        <w:gridCol w:w="1451"/>
        <w:gridCol w:w="1553"/>
        <w:gridCol w:w="1502"/>
      </w:tblGrid>
      <w:tr w:rsidR="008F76A0" w:rsidRPr="00403E62" w14:paraId="63FEC191" w14:textId="77777777" w:rsidTr="00330C53">
        <w:trPr>
          <w:trHeight w:val="890"/>
        </w:trPr>
        <w:tc>
          <w:tcPr>
            <w:tcW w:w="3342" w:type="dxa"/>
            <w:shd w:val="clear" w:color="auto" w:fill="5B7F95"/>
            <w:hideMark/>
          </w:tcPr>
          <w:p w14:paraId="2C1C6B7F" w14:textId="77777777" w:rsidR="008F76A0" w:rsidRPr="008F76A0" w:rsidRDefault="008F76A0" w:rsidP="001042DF">
            <w:pPr>
              <w:rPr>
                <w:lang w:val="en-US" w:eastAsia="en-US"/>
              </w:rPr>
            </w:pPr>
          </w:p>
        </w:tc>
        <w:tc>
          <w:tcPr>
            <w:tcW w:w="1502" w:type="dxa"/>
            <w:shd w:val="clear" w:color="auto" w:fill="5B7F95"/>
            <w:hideMark/>
          </w:tcPr>
          <w:p w14:paraId="5954B762" w14:textId="77777777" w:rsidR="008F76A0" w:rsidRPr="008F76A0" w:rsidRDefault="008F76A0" w:rsidP="001042DF">
            <w:pPr>
              <w:rPr>
                <w:lang w:val="en-US" w:eastAsia="en-US"/>
              </w:rPr>
            </w:pPr>
            <w:r w:rsidRPr="00156618">
              <w:rPr>
                <w:b/>
                <w:bCs/>
                <w:kern w:val="24"/>
                <w:lang w:val="en-US" w:eastAsia="en-US"/>
              </w:rPr>
              <w:t>2017/2018 Actual</w:t>
            </w:r>
          </w:p>
        </w:tc>
        <w:tc>
          <w:tcPr>
            <w:tcW w:w="1451" w:type="dxa"/>
            <w:shd w:val="clear" w:color="auto" w:fill="5B7F95"/>
            <w:hideMark/>
          </w:tcPr>
          <w:p w14:paraId="220C190C" w14:textId="77777777" w:rsidR="008F76A0" w:rsidRPr="008F76A0" w:rsidRDefault="008F76A0" w:rsidP="001042DF">
            <w:pPr>
              <w:rPr>
                <w:lang w:val="en-US" w:eastAsia="en-US"/>
              </w:rPr>
            </w:pPr>
            <w:r w:rsidRPr="00156618">
              <w:rPr>
                <w:b/>
                <w:bCs/>
                <w:kern w:val="24"/>
                <w:lang w:val="en-US" w:eastAsia="en-US"/>
              </w:rPr>
              <w:t>2018/</w:t>
            </w:r>
            <w:proofErr w:type="gramStart"/>
            <w:r w:rsidRPr="00156618">
              <w:rPr>
                <w:b/>
                <w:bCs/>
                <w:kern w:val="24"/>
                <w:lang w:val="en-US" w:eastAsia="en-US"/>
              </w:rPr>
              <w:t>2019  Budget</w:t>
            </w:r>
            <w:proofErr w:type="gramEnd"/>
          </w:p>
        </w:tc>
        <w:tc>
          <w:tcPr>
            <w:tcW w:w="1553" w:type="dxa"/>
            <w:shd w:val="clear" w:color="auto" w:fill="5B7F95"/>
            <w:hideMark/>
          </w:tcPr>
          <w:p w14:paraId="4529B128" w14:textId="77777777" w:rsidR="008F76A0" w:rsidRPr="008F76A0" w:rsidRDefault="008F76A0" w:rsidP="001042DF">
            <w:pPr>
              <w:rPr>
                <w:lang w:val="en-US" w:eastAsia="en-US"/>
              </w:rPr>
            </w:pPr>
            <w:r w:rsidRPr="00156618">
              <w:rPr>
                <w:b/>
                <w:bCs/>
                <w:kern w:val="24"/>
                <w:lang w:val="en-US" w:eastAsia="en-US"/>
              </w:rPr>
              <w:t>Anticipated Variances</w:t>
            </w:r>
          </w:p>
        </w:tc>
        <w:tc>
          <w:tcPr>
            <w:tcW w:w="1502" w:type="dxa"/>
            <w:shd w:val="clear" w:color="auto" w:fill="5B7F95"/>
            <w:hideMark/>
          </w:tcPr>
          <w:p w14:paraId="6B7E3687" w14:textId="465B7487" w:rsidR="008F76A0" w:rsidRPr="008F76A0" w:rsidRDefault="008F76A0" w:rsidP="001042DF">
            <w:pPr>
              <w:rPr>
                <w:lang w:val="en-US" w:eastAsia="en-US"/>
              </w:rPr>
            </w:pPr>
            <w:r w:rsidRPr="00156618">
              <w:rPr>
                <w:b/>
                <w:bCs/>
                <w:kern w:val="24"/>
                <w:lang w:val="en-US" w:eastAsia="en-US"/>
              </w:rPr>
              <w:t>2018/2019 Projection</w:t>
            </w:r>
            <w:r w:rsidR="00FA74E8" w:rsidRPr="00156618">
              <w:rPr>
                <w:b/>
                <w:bCs/>
                <w:kern w:val="24"/>
                <w:lang w:val="en-US" w:eastAsia="en-US"/>
              </w:rPr>
              <w:t>*</w:t>
            </w:r>
          </w:p>
        </w:tc>
      </w:tr>
      <w:tr w:rsidR="008F76A0" w:rsidRPr="00403E62" w14:paraId="6CBD817E" w14:textId="77777777" w:rsidTr="00330C53">
        <w:trPr>
          <w:trHeight w:val="474"/>
        </w:trPr>
        <w:tc>
          <w:tcPr>
            <w:tcW w:w="3342" w:type="dxa"/>
            <w:hideMark/>
          </w:tcPr>
          <w:p w14:paraId="3F54C080" w14:textId="01478A5C" w:rsidR="008F76A0" w:rsidRPr="008F76A0" w:rsidRDefault="008F76A0" w:rsidP="001042DF">
            <w:pPr>
              <w:rPr>
                <w:lang w:val="en-US" w:eastAsia="en-US"/>
              </w:rPr>
            </w:pPr>
            <w:r w:rsidRPr="008F76A0">
              <w:rPr>
                <w:color w:val="000000" w:themeColor="dark1"/>
                <w:kern w:val="24"/>
                <w:lang w:val="en-US" w:eastAsia="en-US"/>
              </w:rPr>
              <w:t>Government grants</w:t>
            </w:r>
            <w:r w:rsidR="0026354B">
              <w:rPr>
                <w:color w:val="000000" w:themeColor="dark1"/>
                <w:kern w:val="24"/>
                <w:lang w:val="en-US" w:eastAsia="en-US"/>
              </w:rPr>
              <w:t>* including growth funding</w:t>
            </w:r>
          </w:p>
        </w:tc>
        <w:tc>
          <w:tcPr>
            <w:tcW w:w="1502" w:type="dxa"/>
            <w:hideMark/>
          </w:tcPr>
          <w:p w14:paraId="3169CCC3" w14:textId="005E41F2" w:rsidR="008F76A0" w:rsidRPr="008F76A0" w:rsidRDefault="00156618" w:rsidP="001042DF">
            <w:pPr>
              <w:rPr>
                <w:lang w:val="en-US" w:eastAsia="en-US"/>
              </w:rPr>
            </w:pPr>
            <w:r w:rsidRPr="008F76A0">
              <w:rPr>
                <w:color w:val="000000" w:themeColor="dark1"/>
                <w:kern w:val="24"/>
                <w:lang w:val="en-US" w:eastAsia="en-US"/>
              </w:rPr>
              <w:t>$ 59,754</w:t>
            </w:r>
          </w:p>
        </w:tc>
        <w:tc>
          <w:tcPr>
            <w:tcW w:w="1451" w:type="dxa"/>
            <w:hideMark/>
          </w:tcPr>
          <w:p w14:paraId="42E11BA6" w14:textId="1D266DAE" w:rsidR="008F76A0" w:rsidRPr="008F76A0" w:rsidRDefault="00156618" w:rsidP="001042DF">
            <w:pPr>
              <w:rPr>
                <w:lang w:val="en-US" w:eastAsia="en-US"/>
              </w:rPr>
            </w:pPr>
            <w:r w:rsidRPr="008F76A0">
              <w:rPr>
                <w:color w:val="000000" w:themeColor="dark1"/>
                <w:kern w:val="24"/>
                <w:lang w:val="en-US" w:eastAsia="en-US"/>
              </w:rPr>
              <w:t>$ 60,692</w:t>
            </w:r>
          </w:p>
        </w:tc>
        <w:tc>
          <w:tcPr>
            <w:tcW w:w="1553" w:type="dxa"/>
            <w:hideMark/>
          </w:tcPr>
          <w:p w14:paraId="50EE7BBB" w14:textId="77777777" w:rsidR="008F76A0" w:rsidRPr="008F76A0" w:rsidRDefault="008F76A0" w:rsidP="001042DF">
            <w:pPr>
              <w:rPr>
                <w:lang w:val="en-US" w:eastAsia="en-US"/>
              </w:rPr>
            </w:pPr>
            <w:r w:rsidRPr="008F76A0">
              <w:rPr>
                <w:color w:val="000000" w:themeColor="dark1"/>
                <w:kern w:val="24"/>
                <w:lang w:val="en-US" w:eastAsia="en-US"/>
              </w:rPr>
              <w:t>$    2,159</w:t>
            </w:r>
          </w:p>
        </w:tc>
        <w:tc>
          <w:tcPr>
            <w:tcW w:w="1502" w:type="dxa"/>
            <w:hideMark/>
          </w:tcPr>
          <w:p w14:paraId="680D9943" w14:textId="7D1D1581" w:rsidR="008F76A0" w:rsidRPr="008F76A0" w:rsidRDefault="003D04B8" w:rsidP="001042DF">
            <w:pPr>
              <w:rPr>
                <w:lang w:val="en-US" w:eastAsia="en-US"/>
              </w:rPr>
            </w:pPr>
            <w:r w:rsidRPr="008F76A0">
              <w:rPr>
                <w:color w:val="000000" w:themeColor="dark1"/>
                <w:kern w:val="24"/>
                <w:lang w:val="en-US" w:eastAsia="en-US"/>
              </w:rPr>
              <w:t>$ 62,851</w:t>
            </w:r>
          </w:p>
        </w:tc>
      </w:tr>
      <w:tr w:rsidR="008F76A0" w:rsidRPr="00403E62" w14:paraId="3E524633" w14:textId="77777777" w:rsidTr="00330C53">
        <w:trPr>
          <w:trHeight w:val="474"/>
        </w:trPr>
        <w:tc>
          <w:tcPr>
            <w:tcW w:w="3342" w:type="dxa"/>
            <w:hideMark/>
          </w:tcPr>
          <w:p w14:paraId="3D1DBD07" w14:textId="77777777" w:rsidR="008F76A0" w:rsidRPr="008F76A0" w:rsidRDefault="008F76A0" w:rsidP="001042DF">
            <w:pPr>
              <w:rPr>
                <w:lang w:val="en-US" w:eastAsia="en-US"/>
              </w:rPr>
            </w:pPr>
            <w:r w:rsidRPr="008F76A0">
              <w:rPr>
                <w:color w:val="000000" w:themeColor="dark1"/>
                <w:kern w:val="24"/>
                <w:lang w:val="en-US" w:eastAsia="en-US"/>
              </w:rPr>
              <w:t>Tuition fees</w:t>
            </w:r>
          </w:p>
        </w:tc>
        <w:tc>
          <w:tcPr>
            <w:tcW w:w="1502" w:type="dxa"/>
            <w:hideMark/>
          </w:tcPr>
          <w:p w14:paraId="38E991EE" w14:textId="601AFE89" w:rsidR="008F76A0" w:rsidRPr="008F76A0" w:rsidRDefault="00156618" w:rsidP="001042DF">
            <w:pPr>
              <w:rPr>
                <w:lang w:val="en-US" w:eastAsia="en-US"/>
              </w:rPr>
            </w:pPr>
            <w:r w:rsidRPr="008F76A0">
              <w:rPr>
                <w:color w:val="000000" w:themeColor="dark1"/>
                <w:kern w:val="24"/>
                <w:lang w:val="en-US" w:eastAsia="en-US"/>
              </w:rPr>
              <w:t>$ 69,748</w:t>
            </w:r>
          </w:p>
        </w:tc>
        <w:tc>
          <w:tcPr>
            <w:tcW w:w="1451" w:type="dxa"/>
            <w:hideMark/>
          </w:tcPr>
          <w:p w14:paraId="73902FE0" w14:textId="504B1D54" w:rsidR="008F76A0" w:rsidRPr="008F76A0" w:rsidRDefault="00156618" w:rsidP="001042DF">
            <w:pPr>
              <w:rPr>
                <w:lang w:val="en-US" w:eastAsia="en-US"/>
              </w:rPr>
            </w:pPr>
            <w:r w:rsidRPr="008F76A0">
              <w:rPr>
                <w:color w:val="000000" w:themeColor="dark1"/>
                <w:kern w:val="24"/>
                <w:lang w:val="en-US" w:eastAsia="en-US"/>
              </w:rPr>
              <w:t>$ 72,867</w:t>
            </w:r>
          </w:p>
        </w:tc>
        <w:tc>
          <w:tcPr>
            <w:tcW w:w="1553" w:type="dxa"/>
            <w:hideMark/>
          </w:tcPr>
          <w:p w14:paraId="7D898B19" w14:textId="77777777" w:rsidR="008F76A0" w:rsidRPr="008F76A0" w:rsidRDefault="008F76A0" w:rsidP="001042DF">
            <w:pPr>
              <w:rPr>
                <w:lang w:val="en-US" w:eastAsia="en-US"/>
              </w:rPr>
            </w:pPr>
            <w:r w:rsidRPr="008F76A0">
              <w:rPr>
                <w:color w:val="000000" w:themeColor="dark1"/>
                <w:kern w:val="24"/>
                <w:lang w:val="en-US" w:eastAsia="en-US"/>
              </w:rPr>
              <w:t>$    3,327</w:t>
            </w:r>
          </w:p>
        </w:tc>
        <w:tc>
          <w:tcPr>
            <w:tcW w:w="1502" w:type="dxa"/>
            <w:hideMark/>
          </w:tcPr>
          <w:p w14:paraId="20AA3F7C" w14:textId="2204D906" w:rsidR="008F76A0" w:rsidRPr="008F76A0" w:rsidRDefault="003D04B8" w:rsidP="001042DF">
            <w:pPr>
              <w:rPr>
                <w:lang w:val="en-US" w:eastAsia="en-US"/>
              </w:rPr>
            </w:pPr>
            <w:r w:rsidRPr="008F76A0">
              <w:rPr>
                <w:color w:val="000000" w:themeColor="dark1"/>
                <w:kern w:val="24"/>
                <w:lang w:val="en-US" w:eastAsia="en-US"/>
              </w:rPr>
              <w:t>$ 76,194</w:t>
            </w:r>
          </w:p>
        </w:tc>
      </w:tr>
      <w:tr w:rsidR="008F76A0" w:rsidRPr="00403E62" w14:paraId="15FBAF86" w14:textId="77777777" w:rsidTr="00330C53">
        <w:trPr>
          <w:trHeight w:val="474"/>
        </w:trPr>
        <w:tc>
          <w:tcPr>
            <w:tcW w:w="3342" w:type="dxa"/>
            <w:hideMark/>
          </w:tcPr>
          <w:p w14:paraId="755BD74F" w14:textId="77777777" w:rsidR="008F76A0" w:rsidRPr="008F76A0" w:rsidRDefault="008F76A0" w:rsidP="001042DF">
            <w:pPr>
              <w:rPr>
                <w:lang w:val="en-US" w:eastAsia="en-US"/>
              </w:rPr>
            </w:pPr>
            <w:r w:rsidRPr="008F76A0">
              <w:rPr>
                <w:lang w:val="en-US" w:eastAsia="en-US"/>
              </w:rPr>
              <w:t>Miscellaneous revenue</w:t>
            </w:r>
          </w:p>
        </w:tc>
        <w:tc>
          <w:tcPr>
            <w:tcW w:w="1502" w:type="dxa"/>
            <w:hideMark/>
          </w:tcPr>
          <w:p w14:paraId="5F5FE829" w14:textId="77777777" w:rsidR="008F76A0" w:rsidRPr="008F76A0" w:rsidRDefault="008F76A0" w:rsidP="001042DF">
            <w:pPr>
              <w:rPr>
                <w:lang w:val="en-US" w:eastAsia="en-US"/>
              </w:rPr>
            </w:pPr>
            <w:r w:rsidRPr="008F76A0">
              <w:rPr>
                <w:lang w:val="en-US" w:eastAsia="en-US"/>
              </w:rPr>
              <w:t>$   5,404</w:t>
            </w:r>
          </w:p>
        </w:tc>
        <w:tc>
          <w:tcPr>
            <w:tcW w:w="1451" w:type="dxa"/>
            <w:hideMark/>
          </w:tcPr>
          <w:p w14:paraId="7D5A4D79" w14:textId="77777777" w:rsidR="008F76A0" w:rsidRPr="008F76A0" w:rsidRDefault="008F76A0" w:rsidP="001042DF">
            <w:pPr>
              <w:rPr>
                <w:lang w:val="en-US" w:eastAsia="en-US"/>
              </w:rPr>
            </w:pPr>
            <w:r w:rsidRPr="008F76A0">
              <w:rPr>
                <w:lang w:val="en-US" w:eastAsia="en-US"/>
              </w:rPr>
              <w:t>$    1,591</w:t>
            </w:r>
          </w:p>
        </w:tc>
        <w:tc>
          <w:tcPr>
            <w:tcW w:w="1553" w:type="dxa"/>
            <w:hideMark/>
          </w:tcPr>
          <w:p w14:paraId="0C5B2055" w14:textId="77777777" w:rsidR="008F76A0" w:rsidRPr="008F76A0" w:rsidRDefault="008F76A0" w:rsidP="001042DF">
            <w:pPr>
              <w:rPr>
                <w:lang w:val="en-US" w:eastAsia="en-US"/>
              </w:rPr>
            </w:pPr>
          </w:p>
        </w:tc>
        <w:tc>
          <w:tcPr>
            <w:tcW w:w="1502" w:type="dxa"/>
            <w:hideMark/>
          </w:tcPr>
          <w:p w14:paraId="1EF41CA5" w14:textId="77777777" w:rsidR="008F76A0" w:rsidRPr="008F76A0" w:rsidRDefault="008F76A0" w:rsidP="001042DF">
            <w:pPr>
              <w:rPr>
                <w:lang w:val="en-US" w:eastAsia="en-US"/>
              </w:rPr>
            </w:pPr>
            <w:r w:rsidRPr="008F76A0">
              <w:rPr>
                <w:lang w:val="en-US" w:eastAsia="en-US"/>
              </w:rPr>
              <w:t>$    1,591</w:t>
            </w:r>
          </w:p>
        </w:tc>
      </w:tr>
      <w:tr w:rsidR="008F76A0" w:rsidRPr="00403E62" w14:paraId="79D2CB26" w14:textId="77777777" w:rsidTr="00330C53">
        <w:trPr>
          <w:trHeight w:val="474"/>
        </w:trPr>
        <w:tc>
          <w:tcPr>
            <w:tcW w:w="3342" w:type="dxa"/>
            <w:hideMark/>
          </w:tcPr>
          <w:p w14:paraId="73896964" w14:textId="77777777" w:rsidR="008F76A0" w:rsidRPr="008F76A0" w:rsidRDefault="008F76A0" w:rsidP="001042DF">
            <w:pPr>
              <w:rPr>
                <w:lang w:val="en-US" w:eastAsia="en-US"/>
              </w:rPr>
            </w:pPr>
            <w:r w:rsidRPr="008F76A0">
              <w:rPr>
                <w:b/>
                <w:bCs/>
                <w:lang w:val="en-US" w:eastAsia="en-US"/>
              </w:rPr>
              <w:t>TOTAL REVENUE</w:t>
            </w:r>
          </w:p>
        </w:tc>
        <w:tc>
          <w:tcPr>
            <w:tcW w:w="1502" w:type="dxa"/>
            <w:hideMark/>
          </w:tcPr>
          <w:p w14:paraId="799D06A1" w14:textId="77777777" w:rsidR="008F76A0" w:rsidRPr="008F76A0" w:rsidRDefault="008F76A0" w:rsidP="001042DF">
            <w:pPr>
              <w:rPr>
                <w:lang w:val="en-US" w:eastAsia="en-US"/>
              </w:rPr>
            </w:pPr>
            <w:r w:rsidRPr="008F76A0">
              <w:rPr>
                <w:b/>
                <w:bCs/>
                <w:lang w:val="en-US" w:eastAsia="en-US"/>
              </w:rPr>
              <w:t>$134,906</w:t>
            </w:r>
          </w:p>
        </w:tc>
        <w:tc>
          <w:tcPr>
            <w:tcW w:w="1451" w:type="dxa"/>
            <w:hideMark/>
          </w:tcPr>
          <w:p w14:paraId="18143E82" w14:textId="77777777" w:rsidR="008F76A0" w:rsidRPr="008F76A0" w:rsidRDefault="008F76A0" w:rsidP="001042DF">
            <w:pPr>
              <w:rPr>
                <w:lang w:val="en-US" w:eastAsia="en-US"/>
              </w:rPr>
            </w:pPr>
            <w:r w:rsidRPr="008F76A0">
              <w:rPr>
                <w:b/>
                <w:bCs/>
                <w:lang w:val="en-US" w:eastAsia="en-US"/>
              </w:rPr>
              <w:t>$135,150</w:t>
            </w:r>
          </w:p>
        </w:tc>
        <w:tc>
          <w:tcPr>
            <w:tcW w:w="1553" w:type="dxa"/>
            <w:hideMark/>
          </w:tcPr>
          <w:p w14:paraId="5BAEC9FB" w14:textId="77777777" w:rsidR="008F76A0" w:rsidRPr="008F76A0" w:rsidRDefault="008F76A0" w:rsidP="001042DF">
            <w:pPr>
              <w:rPr>
                <w:lang w:val="en-US" w:eastAsia="en-US"/>
              </w:rPr>
            </w:pPr>
            <w:r w:rsidRPr="008F76A0">
              <w:rPr>
                <w:b/>
                <w:bCs/>
                <w:lang w:val="en-US" w:eastAsia="en-US"/>
              </w:rPr>
              <w:t>$   5,486</w:t>
            </w:r>
          </w:p>
        </w:tc>
        <w:tc>
          <w:tcPr>
            <w:tcW w:w="1502" w:type="dxa"/>
            <w:hideMark/>
          </w:tcPr>
          <w:p w14:paraId="5B878A55" w14:textId="77777777" w:rsidR="008F76A0" w:rsidRPr="008F76A0" w:rsidRDefault="008F76A0" w:rsidP="001042DF">
            <w:pPr>
              <w:rPr>
                <w:lang w:val="en-US" w:eastAsia="en-US"/>
              </w:rPr>
            </w:pPr>
            <w:r w:rsidRPr="008F76A0">
              <w:rPr>
                <w:b/>
                <w:bCs/>
                <w:lang w:val="en-US" w:eastAsia="en-US"/>
              </w:rPr>
              <w:t>$140,636</w:t>
            </w:r>
          </w:p>
        </w:tc>
      </w:tr>
      <w:tr w:rsidR="008F76A0" w:rsidRPr="00403E62" w14:paraId="241C9497" w14:textId="77777777" w:rsidTr="00330C53">
        <w:trPr>
          <w:trHeight w:val="474"/>
        </w:trPr>
        <w:tc>
          <w:tcPr>
            <w:tcW w:w="3342" w:type="dxa"/>
            <w:hideMark/>
          </w:tcPr>
          <w:p w14:paraId="5AE8A7BB" w14:textId="77777777" w:rsidR="008F76A0" w:rsidRPr="008F76A0" w:rsidRDefault="008F76A0" w:rsidP="001042DF">
            <w:pPr>
              <w:rPr>
                <w:lang w:val="en-US" w:eastAsia="en-US"/>
              </w:rPr>
            </w:pPr>
            <w:r w:rsidRPr="008F76A0">
              <w:rPr>
                <w:lang w:val="en-US" w:eastAsia="en-US"/>
              </w:rPr>
              <w:t>Instructional staff</w:t>
            </w:r>
          </w:p>
        </w:tc>
        <w:tc>
          <w:tcPr>
            <w:tcW w:w="1502" w:type="dxa"/>
            <w:hideMark/>
          </w:tcPr>
          <w:p w14:paraId="2A7784EE" w14:textId="5002D61A" w:rsidR="008F76A0" w:rsidRPr="008F76A0" w:rsidRDefault="00156618" w:rsidP="001042DF">
            <w:pPr>
              <w:rPr>
                <w:lang w:val="en-US" w:eastAsia="en-US"/>
              </w:rPr>
            </w:pPr>
            <w:r w:rsidRPr="008F76A0">
              <w:rPr>
                <w:lang w:val="en-US" w:eastAsia="en-US"/>
              </w:rPr>
              <w:t>$ 60,379</w:t>
            </w:r>
          </w:p>
        </w:tc>
        <w:tc>
          <w:tcPr>
            <w:tcW w:w="1451" w:type="dxa"/>
            <w:hideMark/>
          </w:tcPr>
          <w:p w14:paraId="46337527" w14:textId="0096ED02" w:rsidR="008F76A0" w:rsidRPr="008F76A0" w:rsidRDefault="00156618" w:rsidP="001042DF">
            <w:pPr>
              <w:rPr>
                <w:lang w:val="en-US" w:eastAsia="en-US"/>
              </w:rPr>
            </w:pPr>
            <w:r w:rsidRPr="008F76A0">
              <w:rPr>
                <w:lang w:val="en-US" w:eastAsia="en-US"/>
              </w:rPr>
              <w:t>$ 67,892</w:t>
            </w:r>
          </w:p>
        </w:tc>
        <w:tc>
          <w:tcPr>
            <w:tcW w:w="1553" w:type="dxa"/>
            <w:hideMark/>
          </w:tcPr>
          <w:p w14:paraId="3F223914" w14:textId="77777777" w:rsidR="008F76A0" w:rsidRPr="008F76A0" w:rsidRDefault="008F76A0" w:rsidP="001042DF">
            <w:pPr>
              <w:rPr>
                <w:lang w:val="en-US" w:eastAsia="en-US"/>
              </w:rPr>
            </w:pPr>
            <w:r w:rsidRPr="008F76A0">
              <w:rPr>
                <w:lang w:val="en-US" w:eastAsia="en-US"/>
              </w:rPr>
              <w:t>$      469</w:t>
            </w:r>
          </w:p>
        </w:tc>
        <w:tc>
          <w:tcPr>
            <w:tcW w:w="1502" w:type="dxa"/>
            <w:hideMark/>
          </w:tcPr>
          <w:p w14:paraId="1EF47AED" w14:textId="29E05A61" w:rsidR="008F76A0" w:rsidRPr="008F76A0" w:rsidRDefault="003D04B8" w:rsidP="001042DF">
            <w:pPr>
              <w:rPr>
                <w:lang w:val="en-US" w:eastAsia="en-US"/>
              </w:rPr>
            </w:pPr>
            <w:r w:rsidRPr="008F76A0">
              <w:rPr>
                <w:lang w:val="en-US" w:eastAsia="en-US"/>
              </w:rPr>
              <w:t>$ 68,361</w:t>
            </w:r>
          </w:p>
        </w:tc>
      </w:tr>
      <w:tr w:rsidR="008F76A0" w:rsidRPr="00403E62" w14:paraId="2CAD5550" w14:textId="77777777" w:rsidTr="00330C53">
        <w:trPr>
          <w:trHeight w:val="474"/>
        </w:trPr>
        <w:tc>
          <w:tcPr>
            <w:tcW w:w="3342" w:type="dxa"/>
            <w:hideMark/>
          </w:tcPr>
          <w:p w14:paraId="777D2B0F" w14:textId="77777777" w:rsidR="008F76A0" w:rsidRPr="008F76A0" w:rsidRDefault="008F76A0" w:rsidP="001042DF">
            <w:pPr>
              <w:rPr>
                <w:lang w:val="en-US" w:eastAsia="en-US"/>
              </w:rPr>
            </w:pPr>
            <w:r w:rsidRPr="008F76A0">
              <w:rPr>
                <w:lang w:val="en-US" w:eastAsia="en-US"/>
              </w:rPr>
              <w:t>Non-instructional staff</w:t>
            </w:r>
          </w:p>
        </w:tc>
        <w:tc>
          <w:tcPr>
            <w:tcW w:w="1502" w:type="dxa"/>
            <w:hideMark/>
          </w:tcPr>
          <w:p w14:paraId="17E9E639" w14:textId="1D3BB11D" w:rsidR="008F76A0" w:rsidRPr="008F76A0" w:rsidRDefault="00156618" w:rsidP="001042DF">
            <w:pPr>
              <w:rPr>
                <w:lang w:val="en-US" w:eastAsia="en-US"/>
              </w:rPr>
            </w:pPr>
            <w:r w:rsidRPr="008F76A0">
              <w:rPr>
                <w:lang w:val="en-US" w:eastAsia="en-US"/>
              </w:rPr>
              <w:t>$ 34,565</w:t>
            </w:r>
          </w:p>
        </w:tc>
        <w:tc>
          <w:tcPr>
            <w:tcW w:w="1451" w:type="dxa"/>
            <w:hideMark/>
          </w:tcPr>
          <w:p w14:paraId="0331D148" w14:textId="105B5331" w:rsidR="008F76A0" w:rsidRPr="008F76A0" w:rsidRDefault="00156618" w:rsidP="001042DF">
            <w:pPr>
              <w:rPr>
                <w:lang w:val="en-US" w:eastAsia="en-US"/>
              </w:rPr>
            </w:pPr>
            <w:r w:rsidRPr="008F76A0">
              <w:rPr>
                <w:lang w:val="en-US" w:eastAsia="en-US"/>
              </w:rPr>
              <w:t>$ 41,448</w:t>
            </w:r>
          </w:p>
        </w:tc>
        <w:tc>
          <w:tcPr>
            <w:tcW w:w="1553" w:type="dxa"/>
            <w:hideMark/>
          </w:tcPr>
          <w:p w14:paraId="29366FF4" w14:textId="77777777" w:rsidR="008F76A0" w:rsidRPr="008F76A0" w:rsidRDefault="008F76A0" w:rsidP="001042DF">
            <w:pPr>
              <w:rPr>
                <w:lang w:val="en-US" w:eastAsia="en-US"/>
              </w:rPr>
            </w:pPr>
            <w:r w:rsidRPr="008F76A0">
              <w:rPr>
                <w:lang w:val="en-US" w:eastAsia="en-US"/>
              </w:rPr>
              <w:t>$      288</w:t>
            </w:r>
          </w:p>
        </w:tc>
        <w:tc>
          <w:tcPr>
            <w:tcW w:w="1502" w:type="dxa"/>
            <w:hideMark/>
          </w:tcPr>
          <w:p w14:paraId="2871B158" w14:textId="2BA9F055" w:rsidR="008F76A0" w:rsidRPr="008F76A0" w:rsidRDefault="003D04B8" w:rsidP="001042DF">
            <w:pPr>
              <w:rPr>
                <w:lang w:val="en-US" w:eastAsia="en-US"/>
              </w:rPr>
            </w:pPr>
            <w:r w:rsidRPr="008F76A0">
              <w:rPr>
                <w:lang w:val="en-US" w:eastAsia="en-US"/>
              </w:rPr>
              <w:t>$ 41,736</w:t>
            </w:r>
          </w:p>
        </w:tc>
      </w:tr>
      <w:tr w:rsidR="008F76A0" w:rsidRPr="00403E62" w14:paraId="4F34AF85" w14:textId="77777777" w:rsidTr="00330C53">
        <w:trPr>
          <w:trHeight w:val="474"/>
        </w:trPr>
        <w:tc>
          <w:tcPr>
            <w:tcW w:w="3342" w:type="dxa"/>
            <w:hideMark/>
          </w:tcPr>
          <w:p w14:paraId="10AE9776" w14:textId="77777777" w:rsidR="008F76A0" w:rsidRPr="008F76A0" w:rsidRDefault="008F76A0" w:rsidP="001042DF">
            <w:pPr>
              <w:rPr>
                <w:lang w:val="en-US" w:eastAsia="en-US"/>
              </w:rPr>
            </w:pPr>
            <w:r w:rsidRPr="008F76A0">
              <w:rPr>
                <w:lang w:val="en-US" w:eastAsia="en-US"/>
              </w:rPr>
              <w:t>Student financial aid</w:t>
            </w:r>
          </w:p>
        </w:tc>
        <w:tc>
          <w:tcPr>
            <w:tcW w:w="1502" w:type="dxa"/>
            <w:hideMark/>
          </w:tcPr>
          <w:p w14:paraId="14F54297" w14:textId="77777777" w:rsidR="008F76A0" w:rsidRPr="008F76A0" w:rsidRDefault="008F76A0" w:rsidP="001042DF">
            <w:pPr>
              <w:rPr>
                <w:lang w:val="en-US" w:eastAsia="en-US"/>
              </w:rPr>
            </w:pPr>
            <w:r w:rsidRPr="008F76A0">
              <w:rPr>
                <w:lang w:val="en-US" w:eastAsia="en-US"/>
              </w:rPr>
              <w:t>$   9,642</w:t>
            </w:r>
          </w:p>
        </w:tc>
        <w:tc>
          <w:tcPr>
            <w:tcW w:w="1451" w:type="dxa"/>
            <w:hideMark/>
          </w:tcPr>
          <w:p w14:paraId="20086197" w14:textId="0CF0757F" w:rsidR="008F76A0" w:rsidRPr="008F76A0" w:rsidRDefault="00156618" w:rsidP="001042DF">
            <w:pPr>
              <w:rPr>
                <w:lang w:val="en-US" w:eastAsia="en-US"/>
              </w:rPr>
            </w:pPr>
            <w:r w:rsidRPr="008F76A0">
              <w:rPr>
                <w:lang w:val="en-US" w:eastAsia="en-US"/>
              </w:rPr>
              <w:t>$ 10,322</w:t>
            </w:r>
          </w:p>
        </w:tc>
        <w:tc>
          <w:tcPr>
            <w:tcW w:w="1553" w:type="dxa"/>
            <w:hideMark/>
          </w:tcPr>
          <w:p w14:paraId="7C94A350" w14:textId="77777777" w:rsidR="008F76A0" w:rsidRPr="008F76A0" w:rsidRDefault="008F76A0" w:rsidP="001042DF">
            <w:pPr>
              <w:rPr>
                <w:lang w:val="en-US" w:eastAsia="en-US"/>
              </w:rPr>
            </w:pPr>
            <w:r w:rsidRPr="008F76A0">
              <w:rPr>
                <w:lang w:val="en-US" w:eastAsia="en-US"/>
              </w:rPr>
              <w:t>$      294</w:t>
            </w:r>
          </w:p>
        </w:tc>
        <w:tc>
          <w:tcPr>
            <w:tcW w:w="1502" w:type="dxa"/>
            <w:hideMark/>
          </w:tcPr>
          <w:p w14:paraId="6D4A1C83" w14:textId="3032DC50" w:rsidR="008F76A0" w:rsidRPr="008F76A0" w:rsidRDefault="003D04B8" w:rsidP="001042DF">
            <w:pPr>
              <w:rPr>
                <w:lang w:val="en-US" w:eastAsia="en-US"/>
              </w:rPr>
            </w:pPr>
            <w:r w:rsidRPr="008F76A0">
              <w:rPr>
                <w:lang w:val="en-US" w:eastAsia="en-US"/>
              </w:rPr>
              <w:t>$ 10,616</w:t>
            </w:r>
          </w:p>
        </w:tc>
      </w:tr>
      <w:tr w:rsidR="008F76A0" w:rsidRPr="00403E62" w14:paraId="77975F55" w14:textId="77777777" w:rsidTr="00330C53">
        <w:trPr>
          <w:trHeight w:val="474"/>
        </w:trPr>
        <w:tc>
          <w:tcPr>
            <w:tcW w:w="3342" w:type="dxa"/>
            <w:hideMark/>
          </w:tcPr>
          <w:p w14:paraId="333E6ABE" w14:textId="77777777" w:rsidR="008F76A0" w:rsidRPr="008F76A0" w:rsidRDefault="008F76A0" w:rsidP="001042DF">
            <w:pPr>
              <w:rPr>
                <w:lang w:val="en-US" w:eastAsia="en-US"/>
              </w:rPr>
            </w:pPr>
            <w:r w:rsidRPr="008F76A0">
              <w:rPr>
                <w:lang w:val="en-US" w:eastAsia="en-US"/>
              </w:rPr>
              <w:t>Non-staff expense</w:t>
            </w:r>
          </w:p>
        </w:tc>
        <w:tc>
          <w:tcPr>
            <w:tcW w:w="1502" w:type="dxa"/>
            <w:hideMark/>
          </w:tcPr>
          <w:p w14:paraId="7C91C44D" w14:textId="02D61092" w:rsidR="008F76A0" w:rsidRPr="008F76A0" w:rsidRDefault="00156618" w:rsidP="001042DF">
            <w:pPr>
              <w:rPr>
                <w:lang w:val="en-US" w:eastAsia="en-US"/>
              </w:rPr>
            </w:pPr>
            <w:r w:rsidRPr="008F76A0">
              <w:rPr>
                <w:lang w:val="en-US" w:eastAsia="en-US"/>
              </w:rPr>
              <w:t>$ 28,092</w:t>
            </w:r>
          </w:p>
        </w:tc>
        <w:tc>
          <w:tcPr>
            <w:tcW w:w="1451" w:type="dxa"/>
            <w:hideMark/>
          </w:tcPr>
          <w:p w14:paraId="7F24B089" w14:textId="2826A75A" w:rsidR="008F76A0" w:rsidRPr="008F76A0" w:rsidRDefault="00156618" w:rsidP="001042DF">
            <w:pPr>
              <w:rPr>
                <w:lang w:val="en-US" w:eastAsia="en-US"/>
              </w:rPr>
            </w:pPr>
            <w:r w:rsidRPr="008F76A0">
              <w:rPr>
                <w:lang w:val="en-US" w:eastAsia="en-US"/>
              </w:rPr>
              <w:t>$ 23,694</w:t>
            </w:r>
          </w:p>
        </w:tc>
        <w:tc>
          <w:tcPr>
            <w:tcW w:w="1553" w:type="dxa"/>
            <w:hideMark/>
          </w:tcPr>
          <w:p w14:paraId="3D956DA2" w14:textId="77777777" w:rsidR="008F76A0" w:rsidRPr="008F76A0" w:rsidRDefault="008F76A0" w:rsidP="001042DF">
            <w:pPr>
              <w:rPr>
                <w:lang w:val="en-US" w:eastAsia="en-US"/>
              </w:rPr>
            </w:pPr>
          </w:p>
        </w:tc>
        <w:tc>
          <w:tcPr>
            <w:tcW w:w="1502" w:type="dxa"/>
            <w:hideMark/>
          </w:tcPr>
          <w:p w14:paraId="289BAF0D" w14:textId="2A84F2E7" w:rsidR="008F76A0" w:rsidRPr="008F76A0" w:rsidRDefault="003D04B8" w:rsidP="001042DF">
            <w:pPr>
              <w:rPr>
                <w:lang w:val="en-US" w:eastAsia="en-US"/>
              </w:rPr>
            </w:pPr>
            <w:r w:rsidRPr="008F76A0">
              <w:rPr>
                <w:lang w:val="en-US" w:eastAsia="en-US"/>
              </w:rPr>
              <w:t>$ 23,694</w:t>
            </w:r>
          </w:p>
        </w:tc>
      </w:tr>
      <w:tr w:rsidR="008F76A0" w:rsidRPr="00403E62" w14:paraId="5272F437" w14:textId="77777777" w:rsidTr="00330C53">
        <w:trPr>
          <w:trHeight w:val="474"/>
        </w:trPr>
        <w:tc>
          <w:tcPr>
            <w:tcW w:w="3342" w:type="dxa"/>
            <w:hideMark/>
          </w:tcPr>
          <w:p w14:paraId="05314960" w14:textId="77777777" w:rsidR="008F76A0" w:rsidRPr="008F76A0" w:rsidRDefault="008F76A0" w:rsidP="001042DF">
            <w:pPr>
              <w:rPr>
                <w:lang w:val="en-US" w:eastAsia="en-US"/>
              </w:rPr>
            </w:pPr>
            <w:r w:rsidRPr="008F76A0">
              <w:rPr>
                <w:lang w:val="en-US" w:eastAsia="en-US"/>
              </w:rPr>
              <w:t xml:space="preserve">   Sub-total</w:t>
            </w:r>
          </w:p>
        </w:tc>
        <w:tc>
          <w:tcPr>
            <w:tcW w:w="1502" w:type="dxa"/>
            <w:hideMark/>
          </w:tcPr>
          <w:p w14:paraId="4ED8A757" w14:textId="77777777" w:rsidR="008F76A0" w:rsidRPr="008F76A0" w:rsidRDefault="008F76A0" w:rsidP="001042DF">
            <w:pPr>
              <w:rPr>
                <w:lang w:val="en-US" w:eastAsia="en-US"/>
              </w:rPr>
            </w:pPr>
            <w:r w:rsidRPr="008F76A0">
              <w:rPr>
                <w:lang w:val="en-US" w:eastAsia="en-US"/>
              </w:rPr>
              <w:t>$132,677</w:t>
            </w:r>
          </w:p>
        </w:tc>
        <w:tc>
          <w:tcPr>
            <w:tcW w:w="1451" w:type="dxa"/>
            <w:hideMark/>
          </w:tcPr>
          <w:p w14:paraId="689888AC" w14:textId="77777777" w:rsidR="008F76A0" w:rsidRPr="008F76A0" w:rsidRDefault="008F76A0" w:rsidP="001042DF">
            <w:pPr>
              <w:rPr>
                <w:lang w:val="en-US" w:eastAsia="en-US"/>
              </w:rPr>
            </w:pPr>
            <w:r w:rsidRPr="008F76A0">
              <w:rPr>
                <w:lang w:val="en-US" w:eastAsia="en-US"/>
              </w:rPr>
              <w:t>$143,356</w:t>
            </w:r>
          </w:p>
        </w:tc>
        <w:tc>
          <w:tcPr>
            <w:tcW w:w="1553" w:type="dxa"/>
            <w:hideMark/>
          </w:tcPr>
          <w:p w14:paraId="3EC0270B" w14:textId="77777777" w:rsidR="008F76A0" w:rsidRPr="008F76A0" w:rsidRDefault="008F76A0" w:rsidP="001042DF">
            <w:pPr>
              <w:rPr>
                <w:lang w:val="en-US" w:eastAsia="en-US"/>
              </w:rPr>
            </w:pPr>
            <w:r w:rsidRPr="008F76A0">
              <w:rPr>
                <w:lang w:val="en-US" w:eastAsia="en-US"/>
              </w:rPr>
              <w:t>$   1,051</w:t>
            </w:r>
          </w:p>
        </w:tc>
        <w:tc>
          <w:tcPr>
            <w:tcW w:w="1502" w:type="dxa"/>
            <w:hideMark/>
          </w:tcPr>
          <w:p w14:paraId="6CA6B4CC" w14:textId="77777777" w:rsidR="008F76A0" w:rsidRPr="008F76A0" w:rsidRDefault="008F76A0" w:rsidP="001042DF">
            <w:pPr>
              <w:rPr>
                <w:lang w:val="en-US" w:eastAsia="en-US"/>
              </w:rPr>
            </w:pPr>
            <w:r w:rsidRPr="008F76A0">
              <w:rPr>
                <w:lang w:val="en-US" w:eastAsia="en-US"/>
              </w:rPr>
              <w:t>$144,407</w:t>
            </w:r>
          </w:p>
        </w:tc>
      </w:tr>
      <w:tr w:rsidR="008F76A0" w:rsidRPr="00403E62" w14:paraId="2ADF54B7" w14:textId="77777777" w:rsidTr="00330C53">
        <w:trPr>
          <w:trHeight w:val="474"/>
        </w:trPr>
        <w:tc>
          <w:tcPr>
            <w:tcW w:w="3342" w:type="dxa"/>
            <w:hideMark/>
          </w:tcPr>
          <w:p w14:paraId="1F0FB06F" w14:textId="77777777" w:rsidR="008F76A0" w:rsidRPr="008F76A0" w:rsidRDefault="008F76A0" w:rsidP="001042DF">
            <w:pPr>
              <w:rPr>
                <w:lang w:val="en-US" w:eastAsia="en-US"/>
              </w:rPr>
            </w:pPr>
            <w:r w:rsidRPr="008F76A0">
              <w:rPr>
                <w:lang w:val="en-US" w:eastAsia="en-US"/>
              </w:rPr>
              <w:t>Cost recoveries</w:t>
            </w:r>
          </w:p>
        </w:tc>
        <w:tc>
          <w:tcPr>
            <w:tcW w:w="1502" w:type="dxa"/>
            <w:hideMark/>
          </w:tcPr>
          <w:p w14:paraId="37F04C9F" w14:textId="77777777" w:rsidR="008F76A0" w:rsidRPr="008F76A0" w:rsidRDefault="008F76A0" w:rsidP="001042DF">
            <w:pPr>
              <w:rPr>
                <w:lang w:val="en-US" w:eastAsia="en-US"/>
              </w:rPr>
            </w:pPr>
          </w:p>
        </w:tc>
        <w:tc>
          <w:tcPr>
            <w:tcW w:w="1451" w:type="dxa"/>
            <w:hideMark/>
          </w:tcPr>
          <w:p w14:paraId="18B82F61" w14:textId="4ABF0252" w:rsidR="008F76A0" w:rsidRPr="008F76A0" w:rsidRDefault="00156618" w:rsidP="001042DF">
            <w:pPr>
              <w:rPr>
                <w:lang w:val="en-US" w:eastAsia="en-US"/>
              </w:rPr>
            </w:pPr>
            <w:r w:rsidRPr="008F76A0">
              <w:rPr>
                <w:lang w:val="en-US" w:eastAsia="en-US"/>
              </w:rPr>
              <w:t>$ (</w:t>
            </w:r>
            <w:r w:rsidR="008F76A0" w:rsidRPr="008F76A0">
              <w:rPr>
                <w:lang w:val="en-US" w:eastAsia="en-US"/>
              </w:rPr>
              <w:t>8,000)</w:t>
            </w:r>
          </w:p>
        </w:tc>
        <w:tc>
          <w:tcPr>
            <w:tcW w:w="1553" w:type="dxa"/>
            <w:hideMark/>
          </w:tcPr>
          <w:p w14:paraId="6CFE57E1" w14:textId="65CA2EF5" w:rsidR="008F76A0" w:rsidRPr="008F76A0" w:rsidRDefault="00156618" w:rsidP="001042DF">
            <w:pPr>
              <w:rPr>
                <w:lang w:val="en-US" w:eastAsia="en-US"/>
              </w:rPr>
            </w:pPr>
            <w:r w:rsidRPr="008F76A0">
              <w:rPr>
                <w:lang w:val="en-US" w:eastAsia="en-US"/>
              </w:rPr>
              <w:t>$ (</w:t>
            </w:r>
            <w:r w:rsidR="008F76A0" w:rsidRPr="008F76A0">
              <w:rPr>
                <w:lang w:val="en-US" w:eastAsia="en-US"/>
              </w:rPr>
              <w:t>379)</w:t>
            </w:r>
          </w:p>
        </w:tc>
        <w:tc>
          <w:tcPr>
            <w:tcW w:w="1502" w:type="dxa"/>
            <w:hideMark/>
          </w:tcPr>
          <w:p w14:paraId="747E430E" w14:textId="1C85F384" w:rsidR="008F76A0" w:rsidRPr="008F76A0" w:rsidRDefault="003D04B8" w:rsidP="001042DF">
            <w:pPr>
              <w:rPr>
                <w:lang w:val="en-US" w:eastAsia="en-US"/>
              </w:rPr>
            </w:pPr>
            <w:r w:rsidRPr="008F76A0">
              <w:rPr>
                <w:lang w:val="en-US" w:eastAsia="en-US"/>
              </w:rPr>
              <w:t>$ (</w:t>
            </w:r>
            <w:r w:rsidR="008F76A0" w:rsidRPr="008F76A0">
              <w:rPr>
                <w:lang w:val="en-US" w:eastAsia="en-US"/>
              </w:rPr>
              <w:t>8,379)</w:t>
            </w:r>
          </w:p>
        </w:tc>
      </w:tr>
      <w:tr w:rsidR="008F76A0" w:rsidRPr="00403E62" w14:paraId="0FE5298B" w14:textId="77777777" w:rsidTr="00330C53">
        <w:trPr>
          <w:trHeight w:val="474"/>
        </w:trPr>
        <w:tc>
          <w:tcPr>
            <w:tcW w:w="3342" w:type="dxa"/>
            <w:hideMark/>
          </w:tcPr>
          <w:p w14:paraId="54C1C838" w14:textId="77777777" w:rsidR="008F76A0" w:rsidRPr="008F76A0" w:rsidRDefault="008F76A0" w:rsidP="001042DF">
            <w:pPr>
              <w:rPr>
                <w:lang w:val="en-US" w:eastAsia="en-US"/>
              </w:rPr>
            </w:pPr>
            <w:r w:rsidRPr="008F76A0">
              <w:rPr>
                <w:b/>
                <w:bCs/>
                <w:lang w:val="en-US" w:eastAsia="en-US"/>
              </w:rPr>
              <w:t>TOTAL NET EXPENSE</w:t>
            </w:r>
          </w:p>
        </w:tc>
        <w:tc>
          <w:tcPr>
            <w:tcW w:w="1502" w:type="dxa"/>
            <w:hideMark/>
          </w:tcPr>
          <w:p w14:paraId="292B0115" w14:textId="77777777" w:rsidR="008F76A0" w:rsidRPr="008F76A0" w:rsidRDefault="008F76A0" w:rsidP="001042DF">
            <w:pPr>
              <w:rPr>
                <w:lang w:val="en-US" w:eastAsia="en-US"/>
              </w:rPr>
            </w:pPr>
            <w:r w:rsidRPr="008F76A0">
              <w:rPr>
                <w:b/>
                <w:bCs/>
                <w:lang w:val="en-US" w:eastAsia="en-US"/>
              </w:rPr>
              <w:t>$132,677</w:t>
            </w:r>
          </w:p>
        </w:tc>
        <w:tc>
          <w:tcPr>
            <w:tcW w:w="1451" w:type="dxa"/>
            <w:hideMark/>
          </w:tcPr>
          <w:p w14:paraId="71D55C51" w14:textId="77777777" w:rsidR="008F76A0" w:rsidRPr="008F76A0" w:rsidRDefault="008F76A0" w:rsidP="001042DF">
            <w:pPr>
              <w:rPr>
                <w:lang w:val="en-US" w:eastAsia="en-US"/>
              </w:rPr>
            </w:pPr>
            <w:r w:rsidRPr="008F76A0">
              <w:rPr>
                <w:b/>
                <w:bCs/>
                <w:lang w:val="en-US" w:eastAsia="en-US"/>
              </w:rPr>
              <w:t>$135,356</w:t>
            </w:r>
          </w:p>
        </w:tc>
        <w:tc>
          <w:tcPr>
            <w:tcW w:w="1553" w:type="dxa"/>
            <w:hideMark/>
          </w:tcPr>
          <w:p w14:paraId="21437987" w14:textId="77777777" w:rsidR="008F76A0" w:rsidRPr="008F76A0" w:rsidRDefault="008F76A0" w:rsidP="001042DF">
            <w:pPr>
              <w:rPr>
                <w:lang w:val="en-US" w:eastAsia="en-US"/>
              </w:rPr>
            </w:pPr>
            <w:r w:rsidRPr="008F76A0">
              <w:rPr>
                <w:b/>
                <w:bCs/>
                <w:lang w:val="en-US" w:eastAsia="en-US"/>
              </w:rPr>
              <w:t>$      672</w:t>
            </w:r>
          </w:p>
        </w:tc>
        <w:tc>
          <w:tcPr>
            <w:tcW w:w="1502" w:type="dxa"/>
            <w:hideMark/>
          </w:tcPr>
          <w:p w14:paraId="3499EB50" w14:textId="77777777" w:rsidR="008F76A0" w:rsidRPr="008F76A0" w:rsidRDefault="008F76A0" w:rsidP="001042DF">
            <w:pPr>
              <w:rPr>
                <w:lang w:val="en-US" w:eastAsia="en-US"/>
              </w:rPr>
            </w:pPr>
            <w:r w:rsidRPr="008F76A0">
              <w:rPr>
                <w:b/>
                <w:bCs/>
                <w:lang w:val="en-US" w:eastAsia="en-US"/>
              </w:rPr>
              <w:t>$136,028</w:t>
            </w:r>
          </w:p>
        </w:tc>
      </w:tr>
      <w:tr w:rsidR="008F76A0" w:rsidRPr="00403E62" w14:paraId="7863C2EB" w14:textId="77777777" w:rsidTr="00330C53">
        <w:trPr>
          <w:trHeight w:val="474"/>
        </w:trPr>
        <w:tc>
          <w:tcPr>
            <w:tcW w:w="3342" w:type="dxa"/>
            <w:hideMark/>
          </w:tcPr>
          <w:p w14:paraId="74C56E0A" w14:textId="77777777" w:rsidR="008F76A0" w:rsidRPr="008F76A0" w:rsidRDefault="008F76A0" w:rsidP="001042DF">
            <w:pPr>
              <w:rPr>
                <w:lang w:val="en-US" w:eastAsia="en-US"/>
              </w:rPr>
            </w:pPr>
            <w:r w:rsidRPr="008F76A0">
              <w:rPr>
                <w:lang w:val="en-US" w:eastAsia="en-US"/>
              </w:rPr>
              <w:t>NET REVENUE (EXPENSE)</w:t>
            </w:r>
          </w:p>
        </w:tc>
        <w:tc>
          <w:tcPr>
            <w:tcW w:w="1502" w:type="dxa"/>
            <w:hideMark/>
          </w:tcPr>
          <w:p w14:paraId="551B760F" w14:textId="77777777" w:rsidR="008F76A0" w:rsidRPr="008F76A0" w:rsidRDefault="008F76A0" w:rsidP="001042DF">
            <w:pPr>
              <w:rPr>
                <w:lang w:val="en-US" w:eastAsia="en-US"/>
              </w:rPr>
            </w:pPr>
            <w:r w:rsidRPr="008F76A0">
              <w:rPr>
                <w:lang w:val="en-US" w:eastAsia="en-US"/>
              </w:rPr>
              <w:t>$    2,229</w:t>
            </w:r>
          </w:p>
        </w:tc>
        <w:tc>
          <w:tcPr>
            <w:tcW w:w="1451" w:type="dxa"/>
            <w:hideMark/>
          </w:tcPr>
          <w:p w14:paraId="198D042E" w14:textId="0473394D" w:rsidR="008F76A0" w:rsidRPr="008F76A0" w:rsidRDefault="00156618" w:rsidP="001042DF">
            <w:pPr>
              <w:rPr>
                <w:lang w:val="en-US" w:eastAsia="en-US"/>
              </w:rPr>
            </w:pPr>
            <w:r w:rsidRPr="008F76A0">
              <w:rPr>
                <w:lang w:val="en-US" w:eastAsia="en-US"/>
              </w:rPr>
              <w:t>$ (</w:t>
            </w:r>
            <w:r w:rsidR="008F76A0" w:rsidRPr="008F76A0">
              <w:rPr>
                <w:lang w:val="en-US" w:eastAsia="en-US"/>
              </w:rPr>
              <w:t>206)</w:t>
            </w:r>
          </w:p>
        </w:tc>
        <w:tc>
          <w:tcPr>
            <w:tcW w:w="1553" w:type="dxa"/>
            <w:hideMark/>
          </w:tcPr>
          <w:p w14:paraId="51E60D4F" w14:textId="77777777" w:rsidR="008F76A0" w:rsidRPr="008F76A0" w:rsidRDefault="008F76A0" w:rsidP="001042DF">
            <w:pPr>
              <w:rPr>
                <w:lang w:val="en-US" w:eastAsia="en-US"/>
              </w:rPr>
            </w:pPr>
            <w:r w:rsidRPr="008F76A0">
              <w:rPr>
                <w:lang w:val="en-US" w:eastAsia="en-US"/>
              </w:rPr>
              <w:t>$   4,814</w:t>
            </w:r>
          </w:p>
        </w:tc>
        <w:tc>
          <w:tcPr>
            <w:tcW w:w="1502" w:type="dxa"/>
            <w:hideMark/>
          </w:tcPr>
          <w:p w14:paraId="01997D2C" w14:textId="77777777" w:rsidR="008F76A0" w:rsidRPr="008F76A0" w:rsidRDefault="008F76A0" w:rsidP="001042DF">
            <w:pPr>
              <w:rPr>
                <w:lang w:val="en-US" w:eastAsia="en-US"/>
              </w:rPr>
            </w:pPr>
            <w:r w:rsidRPr="008F76A0">
              <w:rPr>
                <w:lang w:val="en-US" w:eastAsia="en-US"/>
              </w:rPr>
              <w:t>$    4,608</w:t>
            </w:r>
          </w:p>
        </w:tc>
      </w:tr>
      <w:tr w:rsidR="008F76A0" w:rsidRPr="00403E62" w14:paraId="0784CBC7" w14:textId="77777777" w:rsidTr="00330C53">
        <w:trPr>
          <w:trHeight w:val="474"/>
        </w:trPr>
        <w:tc>
          <w:tcPr>
            <w:tcW w:w="3342" w:type="dxa"/>
            <w:hideMark/>
          </w:tcPr>
          <w:p w14:paraId="2639AB95" w14:textId="77777777" w:rsidR="008F76A0" w:rsidRPr="008F76A0" w:rsidRDefault="008F76A0" w:rsidP="001042DF">
            <w:pPr>
              <w:rPr>
                <w:lang w:val="en-US" w:eastAsia="en-US"/>
              </w:rPr>
            </w:pPr>
            <w:r w:rsidRPr="008F76A0">
              <w:rPr>
                <w:lang w:val="en-US" w:eastAsia="en-US"/>
              </w:rPr>
              <w:t>Change in Internally Restricted</w:t>
            </w:r>
          </w:p>
        </w:tc>
        <w:tc>
          <w:tcPr>
            <w:tcW w:w="1502" w:type="dxa"/>
            <w:hideMark/>
          </w:tcPr>
          <w:p w14:paraId="0D783C0A" w14:textId="77777777" w:rsidR="008F76A0" w:rsidRPr="008F76A0" w:rsidRDefault="008F76A0" w:rsidP="001042DF">
            <w:pPr>
              <w:rPr>
                <w:lang w:val="en-US" w:eastAsia="en-US"/>
              </w:rPr>
            </w:pPr>
          </w:p>
        </w:tc>
        <w:tc>
          <w:tcPr>
            <w:tcW w:w="1451" w:type="dxa"/>
            <w:hideMark/>
          </w:tcPr>
          <w:p w14:paraId="58A3F4FE" w14:textId="77777777" w:rsidR="008F76A0" w:rsidRPr="008F76A0" w:rsidRDefault="008F76A0" w:rsidP="001042DF">
            <w:pPr>
              <w:rPr>
                <w:lang w:val="en-US" w:eastAsia="en-US"/>
              </w:rPr>
            </w:pPr>
            <w:r w:rsidRPr="008F76A0">
              <w:rPr>
                <w:lang w:val="en-US" w:eastAsia="en-US"/>
              </w:rPr>
              <w:t>$       363</w:t>
            </w:r>
          </w:p>
        </w:tc>
        <w:tc>
          <w:tcPr>
            <w:tcW w:w="1553" w:type="dxa"/>
            <w:hideMark/>
          </w:tcPr>
          <w:p w14:paraId="24FA984E" w14:textId="327E7B30" w:rsidR="008F76A0" w:rsidRPr="008F76A0" w:rsidRDefault="00156618" w:rsidP="001042DF">
            <w:pPr>
              <w:rPr>
                <w:lang w:val="en-US" w:eastAsia="en-US"/>
              </w:rPr>
            </w:pPr>
            <w:r w:rsidRPr="008F76A0">
              <w:rPr>
                <w:lang w:val="en-US" w:eastAsia="en-US"/>
              </w:rPr>
              <w:t>$ (</w:t>
            </w:r>
            <w:r w:rsidR="008F76A0" w:rsidRPr="008F76A0">
              <w:rPr>
                <w:lang w:val="en-US" w:eastAsia="en-US"/>
              </w:rPr>
              <w:t>275)</w:t>
            </w:r>
          </w:p>
        </w:tc>
        <w:tc>
          <w:tcPr>
            <w:tcW w:w="1502" w:type="dxa"/>
            <w:hideMark/>
          </w:tcPr>
          <w:p w14:paraId="3CB1AE9F" w14:textId="77777777" w:rsidR="008F76A0" w:rsidRPr="008F76A0" w:rsidRDefault="008F76A0" w:rsidP="001042DF">
            <w:pPr>
              <w:rPr>
                <w:lang w:val="en-US" w:eastAsia="en-US"/>
              </w:rPr>
            </w:pPr>
            <w:r w:rsidRPr="008F76A0">
              <w:rPr>
                <w:lang w:val="en-US" w:eastAsia="en-US"/>
              </w:rPr>
              <w:t>$         88</w:t>
            </w:r>
          </w:p>
        </w:tc>
      </w:tr>
      <w:tr w:rsidR="008F76A0" w:rsidRPr="00403E62" w14:paraId="73F5B12A" w14:textId="77777777" w:rsidTr="00330C53">
        <w:trPr>
          <w:trHeight w:val="474"/>
        </w:trPr>
        <w:tc>
          <w:tcPr>
            <w:tcW w:w="3342" w:type="dxa"/>
            <w:hideMark/>
          </w:tcPr>
          <w:p w14:paraId="0C8A45BF" w14:textId="77777777" w:rsidR="008F76A0" w:rsidRPr="008F76A0" w:rsidRDefault="008F76A0" w:rsidP="001042DF">
            <w:pPr>
              <w:rPr>
                <w:lang w:val="en-US" w:eastAsia="en-US"/>
              </w:rPr>
            </w:pPr>
            <w:r w:rsidRPr="008F76A0">
              <w:rPr>
                <w:b/>
                <w:bCs/>
                <w:lang w:val="en-US" w:eastAsia="en-US"/>
              </w:rPr>
              <w:t>ANNUAL EXCESS REVENUE OVER EXPENSE</w:t>
            </w:r>
          </w:p>
        </w:tc>
        <w:tc>
          <w:tcPr>
            <w:tcW w:w="1502" w:type="dxa"/>
            <w:hideMark/>
          </w:tcPr>
          <w:p w14:paraId="2FA2698F" w14:textId="77777777" w:rsidR="008F76A0" w:rsidRPr="008F76A0" w:rsidRDefault="008F76A0" w:rsidP="001042DF">
            <w:pPr>
              <w:rPr>
                <w:lang w:val="en-US" w:eastAsia="en-US"/>
              </w:rPr>
            </w:pPr>
            <w:r w:rsidRPr="008F76A0">
              <w:rPr>
                <w:b/>
                <w:bCs/>
                <w:lang w:val="en-US" w:eastAsia="en-US"/>
              </w:rPr>
              <w:t>$    2,229</w:t>
            </w:r>
          </w:p>
        </w:tc>
        <w:tc>
          <w:tcPr>
            <w:tcW w:w="1451" w:type="dxa"/>
            <w:hideMark/>
          </w:tcPr>
          <w:p w14:paraId="04B85D22" w14:textId="77777777" w:rsidR="008F76A0" w:rsidRPr="008F76A0" w:rsidRDefault="008F76A0" w:rsidP="001042DF">
            <w:pPr>
              <w:rPr>
                <w:lang w:val="en-US" w:eastAsia="en-US"/>
              </w:rPr>
            </w:pPr>
            <w:r w:rsidRPr="008F76A0">
              <w:rPr>
                <w:b/>
                <w:bCs/>
                <w:lang w:val="en-US" w:eastAsia="en-US"/>
              </w:rPr>
              <w:t>$       157</w:t>
            </w:r>
          </w:p>
        </w:tc>
        <w:tc>
          <w:tcPr>
            <w:tcW w:w="1553" w:type="dxa"/>
            <w:hideMark/>
          </w:tcPr>
          <w:p w14:paraId="2FD98E16" w14:textId="77777777" w:rsidR="008F76A0" w:rsidRPr="008F76A0" w:rsidRDefault="008F76A0" w:rsidP="001042DF">
            <w:pPr>
              <w:rPr>
                <w:lang w:val="en-US" w:eastAsia="en-US"/>
              </w:rPr>
            </w:pPr>
            <w:r w:rsidRPr="008F76A0">
              <w:rPr>
                <w:b/>
                <w:bCs/>
                <w:lang w:val="en-US" w:eastAsia="en-US"/>
              </w:rPr>
              <w:t>$   4,539</w:t>
            </w:r>
          </w:p>
        </w:tc>
        <w:tc>
          <w:tcPr>
            <w:tcW w:w="1502" w:type="dxa"/>
            <w:hideMark/>
          </w:tcPr>
          <w:p w14:paraId="482CA654" w14:textId="77777777" w:rsidR="008F76A0" w:rsidRPr="008F76A0" w:rsidRDefault="008F76A0" w:rsidP="001042DF">
            <w:pPr>
              <w:rPr>
                <w:lang w:val="en-US" w:eastAsia="en-US"/>
              </w:rPr>
            </w:pPr>
            <w:r w:rsidRPr="008F76A0">
              <w:rPr>
                <w:b/>
                <w:bCs/>
                <w:lang w:val="en-US" w:eastAsia="en-US"/>
              </w:rPr>
              <w:t>$    4,696</w:t>
            </w:r>
          </w:p>
        </w:tc>
      </w:tr>
    </w:tbl>
    <w:p w14:paraId="5849EA28" w14:textId="77777777" w:rsidR="00FA74E8" w:rsidRDefault="00FA74E8" w:rsidP="00FA74E8">
      <w:pPr>
        <w:spacing w:after="240"/>
        <w:jc w:val="both"/>
        <w:rPr>
          <w:rFonts w:ascii="Arial" w:hAnsi="Arial" w:cs="Arial"/>
          <w:sz w:val="24"/>
          <w:szCs w:val="24"/>
        </w:rPr>
      </w:pPr>
    </w:p>
    <w:p w14:paraId="62102930" w14:textId="7901E20C" w:rsidR="002A2DF8" w:rsidRPr="003D04B8" w:rsidRDefault="00FA74E8" w:rsidP="001042DF">
      <w:pPr>
        <w:rPr>
          <w:rStyle w:val="Emphasis"/>
        </w:rPr>
      </w:pPr>
      <w:r w:rsidRPr="003D04B8">
        <w:rPr>
          <w:rStyle w:val="Emphasis"/>
        </w:rPr>
        <w:t>*2018/2019 Projection at time of Board approval in May 2019</w:t>
      </w:r>
    </w:p>
    <w:p w14:paraId="20784E91" w14:textId="332266BA" w:rsidR="00330C53" w:rsidRDefault="00330C53" w:rsidP="001042DF">
      <w:r w:rsidRPr="00330C53">
        <w:t xml:space="preserve">As a </w:t>
      </w:r>
      <w:r>
        <w:t>result of the anticipated excess revenue</w:t>
      </w:r>
      <w:r w:rsidR="005750D3">
        <w:t xml:space="preserve"> for the fiscal year</w:t>
      </w:r>
      <w:r>
        <w:t xml:space="preserve">, senior administration recommended </w:t>
      </w:r>
      <w:r w:rsidR="005750D3">
        <w:t xml:space="preserve">to the Board </w:t>
      </w:r>
      <w:r>
        <w:t xml:space="preserve">the unspent funds be used in support of important University initiatives, including capital </w:t>
      </w:r>
      <w:r>
        <w:lastRenderedPageBreak/>
        <w:t>projects, instructional resources to address enrolment growth,</w:t>
      </w:r>
      <w:r w:rsidR="005750D3">
        <w:t xml:space="preserve"> and endowments.  These one-time strategic investments were contingent on the receipt of the expected enrolment growth funding and final financial position after year-end adjustments.  Therefore, the above financial forecast does not reflect these strategic investments.</w:t>
      </w:r>
    </w:p>
    <w:p w14:paraId="4933D9C8" w14:textId="6840059E" w:rsidR="00330C53" w:rsidRDefault="00330C53" w:rsidP="003D04B8">
      <w:pPr>
        <w:pStyle w:val="Heading2"/>
        <w:rPr>
          <w:b/>
          <w:bCs/>
        </w:rPr>
      </w:pPr>
      <w:r w:rsidRPr="00715AE0">
        <w:rPr>
          <w:b/>
          <w:bCs/>
        </w:rPr>
        <w:t>Update</w:t>
      </w:r>
    </w:p>
    <w:p w14:paraId="7B246FE9" w14:textId="77777777" w:rsidR="00E67E5E" w:rsidRPr="00E67E5E" w:rsidRDefault="00E67E5E" w:rsidP="00E67E5E"/>
    <w:p w14:paraId="477E1EB6" w14:textId="36A82B70" w:rsidR="00330C53" w:rsidRDefault="00330C53" w:rsidP="001042DF">
      <w:r>
        <w:t xml:space="preserve">The financial update prepared in May 2019 </w:t>
      </w:r>
      <w:r w:rsidR="00403E62">
        <w:t xml:space="preserve">(see above) </w:t>
      </w:r>
      <w:r>
        <w:t>assumed $6.8 million in enrolment growth funding.</w:t>
      </w:r>
      <w:r w:rsidR="005750D3">
        <w:t xml:space="preserve">  </w:t>
      </w:r>
      <w:proofErr w:type="gramStart"/>
      <w:r w:rsidR="005750D3">
        <w:t>Subsequent to</w:t>
      </w:r>
      <w:proofErr w:type="gramEnd"/>
      <w:r w:rsidR="005750D3">
        <w:t xml:space="preserve"> receiving Board approval for the 2019/2020 Operating Budget, Ministry </w:t>
      </w:r>
      <w:r w:rsidR="00403E62">
        <w:t xml:space="preserve">representatives </w:t>
      </w:r>
      <w:r w:rsidR="005750D3">
        <w:t xml:space="preserve">communicated to the University that they did not have approval to provide additional funding related to increases in enrolment.  As a result of this communication, the University did not record growth funding in its 2018/2019 financial statements other than </w:t>
      </w:r>
      <w:r w:rsidR="00403E62">
        <w:t xml:space="preserve">nominal </w:t>
      </w:r>
      <w:r w:rsidR="005750D3">
        <w:t>amounts received for nursing and graduate programs.</w:t>
      </w:r>
    </w:p>
    <w:p w14:paraId="39A8C2FE" w14:textId="38E25387" w:rsidR="005750D3" w:rsidRDefault="005750D3" w:rsidP="001042DF">
      <w:r>
        <w:t xml:space="preserve">The enrolment growth did result in additional net tuition revenue.  </w:t>
      </w:r>
      <w:r w:rsidR="00403E62">
        <w:t>Combined</w:t>
      </w:r>
      <w:r>
        <w:t xml:space="preserve"> with increased miscellaneous revenue and cost recoveries, and savings on operating expenses, the University </w:t>
      </w:r>
      <w:r w:rsidR="00403E62">
        <w:t xml:space="preserve">was able to make some one-time strategic investments.  However, the 2018/2019 fiscal year ended with an operating deficit of $1.5 million (before pension actuarial and fair value adjustments) as a direct result of not receiving the anticipated enrolment growth funding.  </w:t>
      </w:r>
    </w:p>
    <w:p w14:paraId="03757662" w14:textId="77777777" w:rsidR="005750D3" w:rsidRDefault="005750D3" w:rsidP="001042DF"/>
    <w:p w14:paraId="52BC288A" w14:textId="7D2D21FF" w:rsidR="00330C53" w:rsidRDefault="00330C53" w:rsidP="001042DF">
      <w:r>
        <w:t xml:space="preserve">  </w:t>
      </w:r>
    </w:p>
    <w:p w14:paraId="44CDE0BE" w14:textId="739914B4" w:rsidR="00CF51A9" w:rsidRPr="00330C53" w:rsidRDefault="0035796A" w:rsidP="00330C53">
      <w:pPr>
        <w:spacing w:after="240"/>
        <w:jc w:val="both"/>
        <w:rPr>
          <w:rFonts w:ascii="Arial" w:hAnsi="Arial" w:cs="Arial"/>
          <w:color w:val="000000" w:themeColor="text1"/>
          <w:sz w:val="24"/>
          <w:szCs w:val="24"/>
        </w:rPr>
      </w:pPr>
      <w:r>
        <w:br w:type="page"/>
      </w:r>
    </w:p>
    <w:p w14:paraId="769A1C0A" w14:textId="2952D455" w:rsidR="009A3BAA" w:rsidRPr="003D04B8" w:rsidRDefault="00FD04D4" w:rsidP="003D04B8">
      <w:pPr>
        <w:pStyle w:val="Heading1"/>
        <w:rPr>
          <w:b/>
          <w:bCs/>
          <w:color w:val="385623" w:themeColor="accent6" w:themeShade="80"/>
        </w:rPr>
      </w:pPr>
      <w:r w:rsidRPr="003D04B8">
        <w:rPr>
          <w:b/>
          <w:bCs/>
          <w:color w:val="385623" w:themeColor="accent6" w:themeShade="80"/>
        </w:rPr>
        <w:lastRenderedPageBreak/>
        <w:t>KEY BUDGET ASSUMPTIONS</w:t>
      </w:r>
    </w:p>
    <w:p w14:paraId="00D947D5" w14:textId="687A6462" w:rsidR="000F06EF" w:rsidRPr="003D04B8" w:rsidRDefault="000F06EF" w:rsidP="003D04B8">
      <w:pPr>
        <w:pStyle w:val="Heading2"/>
        <w:rPr>
          <w:b/>
          <w:bCs/>
          <w:color w:val="5B9BD5" w:themeColor="accent1"/>
        </w:rPr>
      </w:pPr>
      <w:r w:rsidRPr="00715AE0">
        <w:rPr>
          <w:b/>
          <w:bCs/>
        </w:rPr>
        <w:t>Enrolment</w:t>
      </w:r>
    </w:p>
    <w:p w14:paraId="7FF0935D" w14:textId="77777777" w:rsidR="00E67E5E" w:rsidRDefault="00E67E5E" w:rsidP="001042DF"/>
    <w:p w14:paraId="352E4E28" w14:textId="3FE644F7" w:rsidR="00FB095E" w:rsidRPr="00EE3277" w:rsidRDefault="00843F09" w:rsidP="001042DF">
      <w:r w:rsidRPr="00EE3277">
        <w:t xml:space="preserve">The key driver in the University’s planning is student enrolment as this generates </w:t>
      </w:r>
      <w:r w:rsidR="003E783B">
        <w:t>over 9</w:t>
      </w:r>
      <w:r w:rsidR="00323422">
        <w:t>0</w:t>
      </w:r>
      <w:r w:rsidR="003E783B">
        <w:t>%</w:t>
      </w:r>
      <w:r w:rsidR="00A8236F" w:rsidRPr="00922B64">
        <w:t xml:space="preserve"> </w:t>
      </w:r>
      <w:r w:rsidR="00682F77" w:rsidRPr="00922B64">
        <w:t xml:space="preserve">of </w:t>
      </w:r>
      <w:r w:rsidR="003E783B">
        <w:t xml:space="preserve">the University’s </w:t>
      </w:r>
      <w:r w:rsidR="00682F77" w:rsidRPr="00922B64">
        <w:t>o</w:t>
      </w:r>
      <w:r w:rsidR="00682F77">
        <w:t xml:space="preserve">perating revenue </w:t>
      </w:r>
      <w:r w:rsidRPr="00EE3277">
        <w:t xml:space="preserve">through tuition fees and </w:t>
      </w:r>
      <w:r w:rsidR="00A8236F" w:rsidRPr="00922B64">
        <w:t xml:space="preserve">enrolment-based </w:t>
      </w:r>
      <w:r w:rsidR="00FB095E" w:rsidRPr="00922B64">
        <w:t>provin</w:t>
      </w:r>
      <w:r w:rsidR="00FB095E" w:rsidRPr="00EE3277">
        <w:t>cial operating grants.  Resources required for academic programming</w:t>
      </w:r>
      <w:r w:rsidR="00713DEB" w:rsidRPr="00EE3277">
        <w:t xml:space="preserve"> are determined by the number and types of students.  Other </w:t>
      </w:r>
      <w:r w:rsidR="00FB095E" w:rsidRPr="00EE3277">
        <w:t xml:space="preserve">university operations and support services, </w:t>
      </w:r>
      <w:r w:rsidR="00713DEB" w:rsidRPr="00EE3277">
        <w:t>as well as</w:t>
      </w:r>
      <w:r w:rsidR="00FB095E" w:rsidRPr="00EE3277">
        <w:t xml:space="preserve"> ancillary services, are significantly influenced by the student population.  </w:t>
      </w:r>
    </w:p>
    <w:p w14:paraId="4EA4C21B" w14:textId="0008F118" w:rsidR="00FB095E" w:rsidRPr="00EE3277" w:rsidRDefault="00FB095E" w:rsidP="001042DF">
      <w:r w:rsidRPr="00EE3277">
        <w:t xml:space="preserve">For this budget cycle, enrolment projections are based on a conservative approach to allow the University to plan sufficient resources and address capacity challenges related to growing enrolment while ensuring the budget is flexible to respond to unmet enrolment targets should there be any.  The three-year enrolment projections </w:t>
      </w:r>
      <w:r w:rsidR="00713DEB" w:rsidRPr="00EE3277">
        <w:t xml:space="preserve">used this year for budget planning </w:t>
      </w:r>
      <w:r w:rsidRPr="00EE3277">
        <w:t>are based on the following assumptions:</w:t>
      </w:r>
    </w:p>
    <w:p w14:paraId="37772181" w14:textId="38D531A9" w:rsidR="00713DEB" w:rsidRDefault="006E2C22" w:rsidP="003D04B8">
      <w:pPr>
        <w:pStyle w:val="ListParagraph"/>
        <w:numPr>
          <w:ilvl w:val="0"/>
          <w:numId w:val="7"/>
        </w:numPr>
      </w:pPr>
      <w:r w:rsidRPr="00EE3277">
        <w:t>Undergraduate d</w:t>
      </w:r>
      <w:r w:rsidR="00FB095E" w:rsidRPr="00EE3277">
        <w:t>omestic intake will continue to increase</w:t>
      </w:r>
      <w:r w:rsidR="00682F77">
        <w:t xml:space="preserve"> in a controlled manner.  Trent anticipates that domestic intake at the Peterborough campus will increase relative to 2018/2019’s experience by approximately 3% in 2019/2020, 1.5% in 2020/2021 and 0.75% in 2021/2022.  Similarly, domestic intake at the Durham campus is expected to increase by approximately 8% in 2019/2020, 4% in 20202/2021 and 2% in </w:t>
      </w:r>
      <w:r w:rsidR="001042DF">
        <w:t>2021/2022</w:t>
      </w:r>
      <w:r w:rsidR="001042DF" w:rsidRPr="00EE3277">
        <w:t>.</w:t>
      </w:r>
    </w:p>
    <w:p w14:paraId="2A2BC1C7" w14:textId="77777777" w:rsidR="0001016B" w:rsidRPr="00EE3277" w:rsidRDefault="0001016B" w:rsidP="001042DF"/>
    <w:p w14:paraId="27C37085" w14:textId="332A8463" w:rsidR="0001016B" w:rsidRPr="0001016B" w:rsidRDefault="00FB095E" w:rsidP="003D04B8">
      <w:pPr>
        <w:pStyle w:val="ListParagraph"/>
        <w:numPr>
          <w:ilvl w:val="0"/>
          <w:numId w:val="7"/>
        </w:numPr>
      </w:pPr>
      <w:r w:rsidRPr="00EE3277">
        <w:t>International intake will increase</w:t>
      </w:r>
      <w:r w:rsidR="00682F77">
        <w:t xml:space="preserve"> relative to 2018/2019 intake by 35 in 2019/2020 and 2020/2021 and by 75 in 20201/2022 as </w:t>
      </w:r>
      <w:r w:rsidR="006E2C22" w:rsidRPr="00EE3277">
        <w:t xml:space="preserve">concerted efforts are made to grow international enrolment from </w:t>
      </w:r>
      <w:r w:rsidR="00682F77">
        <w:t>8</w:t>
      </w:r>
      <w:r w:rsidR="006E2C22" w:rsidRPr="00EE3277">
        <w:t xml:space="preserve">% currently to 10% of Trent enrolment by Fall </w:t>
      </w:r>
      <w:r w:rsidR="001042DF" w:rsidRPr="00EE3277">
        <w:t>2024.</w:t>
      </w:r>
    </w:p>
    <w:p w14:paraId="64B568E3" w14:textId="77777777" w:rsidR="0001016B" w:rsidRDefault="0001016B" w:rsidP="001042DF"/>
    <w:p w14:paraId="7F5CF113" w14:textId="7A77E5BC" w:rsidR="006E2C22" w:rsidRPr="00EE3277" w:rsidRDefault="00682F77" w:rsidP="003D04B8">
      <w:pPr>
        <w:pStyle w:val="ListParagraph"/>
        <w:numPr>
          <w:ilvl w:val="0"/>
          <w:numId w:val="7"/>
        </w:numPr>
      </w:pPr>
      <w:r>
        <w:t>C</w:t>
      </w:r>
      <w:r w:rsidR="006E2C22" w:rsidRPr="00EE3277">
        <w:t xml:space="preserve">ontinuation rates </w:t>
      </w:r>
      <w:r>
        <w:t>will be based on the average of the last four years of historical rates, conservatively adjusted</w:t>
      </w:r>
      <w:r w:rsidR="006E2C22" w:rsidRPr="00EE3277">
        <w:t>; and</w:t>
      </w:r>
    </w:p>
    <w:p w14:paraId="0A9435A1" w14:textId="77777777" w:rsidR="0001016B" w:rsidRDefault="0001016B" w:rsidP="001042DF"/>
    <w:p w14:paraId="72A245DF" w14:textId="1E85B597" w:rsidR="006E2C22" w:rsidRPr="00EE3277" w:rsidRDefault="000D4510" w:rsidP="003D04B8">
      <w:pPr>
        <w:pStyle w:val="ListParagraph"/>
        <w:numPr>
          <w:ilvl w:val="0"/>
          <w:numId w:val="7"/>
        </w:numPr>
      </w:pPr>
      <w:r w:rsidRPr="00EE3277">
        <w:t>G</w:t>
      </w:r>
      <w:r w:rsidR="006E2C22" w:rsidRPr="00EE3277">
        <w:t xml:space="preserve">raduate enrolment will continue to be stable at </w:t>
      </w:r>
      <w:r w:rsidR="00F30C67">
        <w:t>capped M</w:t>
      </w:r>
      <w:r w:rsidR="006E2C22" w:rsidRPr="00EE3277">
        <w:t>inistry-funded graduate spaces</w:t>
      </w:r>
      <w:r w:rsidR="00F30C67">
        <w:t xml:space="preserve"> for </w:t>
      </w:r>
      <w:proofErr w:type="gramStart"/>
      <w:r w:rsidR="00F30C67">
        <w:t>Masters</w:t>
      </w:r>
      <w:proofErr w:type="gramEnd"/>
      <w:r w:rsidR="00F30C67">
        <w:t xml:space="preserve"> programs and at Fall 2018 levels for PhD programs</w:t>
      </w:r>
      <w:r w:rsidR="006E2C22" w:rsidRPr="00EE3277">
        <w:t>.</w:t>
      </w:r>
    </w:p>
    <w:p w14:paraId="1CC97E27" w14:textId="63CC4B94" w:rsidR="00D0030B" w:rsidRDefault="00FA11D8" w:rsidP="001042DF">
      <w:pPr>
        <w:rPr>
          <w:noProof/>
          <w:color w:val="000000" w:themeColor="text1"/>
          <w:lang w:val="en-US" w:eastAsia="en-US"/>
        </w:rPr>
      </w:pPr>
      <w:r>
        <w:t>O</w:t>
      </w:r>
      <w:r w:rsidR="00F30C67">
        <w:t xml:space="preserve">verall, </w:t>
      </w:r>
      <w:r w:rsidR="0069421E" w:rsidRPr="00EE3277">
        <w:t>Trent is projecting</w:t>
      </w:r>
      <w:r w:rsidR="00D0030B" w:rsidRPr="00EE3277">
        <w:t xml:space="preserve"> that total student enrolment will increase 3.3% to 9,</w:t>
      </w:r>
      <w:r w:rsidR="00F30C67">
        <w:t>970</w:t>
      </w:r>
      <w:r w:rsidR="00D0030B" w:rsidRPr="00EE3277">
        <w:t xml:space="preserve"> FTEs in 201</w:t>
      </w:r>
      <w:r w:rsidR="00F30C67">
        <w:t>9</w:t>
      </w:r>
      <w:r w:rsidR="00D0030B" w:rsidRPr="00EE3277">
        <w:t>/20</w:t>
      </w:r>
      <w:r w:rsidR="00F30C67">
        <w:t>20</w:t>
      </w:r>
      <w:r w:rsidR="00D0030B" w:rsidRPr="00EE3277">
        <w:t xml:space="preserve">, an increase of </w:t>
      </w:r>
      <w:r w:rsidR="00F30C67">
        <w:t>320</w:t>
      </w:r>
      <w:r w:rsidR="00D0030B" w:rsidRPr="00EE3277">
        <w:t xml:space="preserve"> FTEs from 201</w:t>
      </w:r>
      <w:r w:rsidR="00F30C67">
        <w:t>8</w:t>
      </w:r>
      <w:r w:rsidR="00D0030B" w:rsidRPr="00EE3277">
        <w:t>/201</w:t>
      </w:r>
      <w:r w:rsidR="00F30C67">
        <w:t>9</w:t>
      </w:r>
      <w:r w:rsidR="00D0030B" w:rsidRPr="00EE3277">
        <w:t>.</w:t>
      </w:r>
      <w:r>
        <w:rPr>
          <w:noProof/>
          <w:color w:val="000000" w:themeColor="text1"/>
          <w:lang w:val="en-US" w:eastAsia="en-US"/>
        </w:rPr>
        <w:t xml:space="preserve">  This represents an increase of approximately </w:t>
      </w:r>
      <w:r w:rsidRPr="00BF377D">
        <w:rPr>
          <w:noProof/>
          <w:color w:val="000000" w:themeColor="text1"/>
          <w:lang w:val="en-US" w:eastAsia="en-US"/>
        </w:rPr>
        <w:t>19.3% fr</w:t>
      </w:r>
      <w:r>
        <w:rPr>
          <w:noProof/>
          <w:color w:val="000000" w:themeColor="text1"/>
          <w:lang w:val="en-US" w:eastAsia="en-US"/>
        </w:rPr>
        <w:t>om the 2016/2017 corridor mid-point used in the current Ministry funding model.</w:t>
      </w:r>
    </w:p>
    <w:p w14:paraId="7B822C56" w14:textId="3FAE5A47" w:rsidR="00F41864" w:rsidRPr="00FA11D8" w:rsidRDefault="00F41864" w:rsidP="00EE3277">
      <w:pPr>
        <w:spacing w:after="240"/>
        <w:jc w:val="both"/>
        <w:rPr>
          <w:rFonts w:ascii="Arial" w:hAnsi="Arial" w:cs="Arial"/>
          <w:color w:val="000000" w:themeColor="text1"/>
          <w:sz w:val="24"/>
          <w:szCs w:val="24"/>
        </w:rPr>
      </w:pPr>
    </w:p>
    <w:p w14:paraId="2AA55E05" w14:textId="2C4EBC64" w:rsidR="00E75DBA" w:rsidRDefault="00454514" w:rsidP="003D04B8">
      <w:r>
        <w:rPr>
          <w:noProof/>
          <w:lang w:val="en-US" w:eastAsia="en-US"/>
        </w:rPr>
        <w:lastRenderedPageBreak/>
        <mc:AlternateContent>
          <mc:Choice Requires="wps">
            <w:drawing>
              <wp:anchor distT="0" distB="0" distL="114300" distR="114300" simplePos="0" relativeHeight="251669504" behindDoc="0" locked="0" layoutInCell="1" allowOverlap="1" wp14:anchorId="455E43CC" wp14:editId="2D2745B0">
                <wp:simplePos x="0" y="0"/>
                <wp:positionH relativeFrom="column">
                  <wp:posOffset>3169920</wp:posOffset>
                </wp:positionH>
                <wp:positionV relativeFrom="paragraph">
                  <wp:posOffset>548640</wp:posOffset>
                </wp:positionV>
                <wp:extent cx="786976" cy="3048000"/>
                <wp:effectExtent l="0" t="0" r="13335" b="19050"/>
                <wp:wrapNone/>
                <wp:docPr id="17" name="Text Box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86976" cy="3048000"/>
                        </a:xfrm>
                        <a:prstGeom prst="rect">
                          <a:avLst/>
                        </a:prstGeom>
                        <a:solidFill>
                          <a:schemeClr val="lt1">
                            <a:alpha val="0"/>
                          </a:schemeClr>
                        </a:solidFill>
                        <a:ln w="6350">
                          <a:solidFill>
                            <a:prstClr val="black"/>
                          </a:solidFill>
                        </a:ln>
                      </wps:spPr>
                      <wps:txbx>
                        <w:txbxContent>
                          <w:p w14:paraId="0F51998E" w14:textId="77777777" w:rsidR="00DC28C6" w:rsidRPr="00454514" w:rsidRDefault="00DC28C6">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E43CC" id="Text Box 17" o:spid="_x0000_s1030" type="#_x0000_t202" alt="&quot;&quot;" style="position:absolute;margin-left:249.6pt;margin-top:43.2pt;width:61.95pt;height:24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" fillcolor="white [3201]" strokeweight=".5pt">
                <v:fill opacity="0"/>
                <v:textbox>
                  <w:txbxContent>
                    <w:p w14:paraId="0F51998E" w14:textId="77777777" w:rsidR="00DC28C6" w:rsidRPr="00454514" w:rsidRDefault="00DC28C6">
                      <w:pPr>
                        <w:rPr>
                          <w:color w:val="FFFFFF" w:themeColor="background1"/>
                          <w14:textFill>
                            <w14:noFill/>
                          </w14:textFill>
                        </w:rPr>
                      </w:pPr>
                    </w:p>
                  </w:txbxContent>
                </v:textbox>
              </v:shape>
            </w:pict>
          </mc:Fallback>
        </mc:AlternateContent>
      </w:r>
      <w:r w:rsidR="0001016B" w:rsidRPr="0001016B">
        <w:rPr>
          <w:noProof/>
          <w:lang w:val="en-US" w:eastAsia="en-US"/>
        </w:rPr>
        <w:drawing>
          <wp:inline distT="0" distB="0" distL="0" distR="0" wp14:anchorId="133FF96B" wp14:editId="0307A2D5">
            <wp:extent cx="5943600" cy="3909060"/>
            <wp:effectExtent l="0" t="0" r="0" b="0"/>
            <wp:docPr id="15" name="Chart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39E083D" w14:textId="77777777" w:rsidR="00AA424F" w:rsidRDefault="00AA424F" w:rsidP="00FB095E">
      <w:pPr>
        <w:jc w:val="both"/>
        <w:rPr>
          <w:rFonts w:ascii="Arial" w:hAnsi="Arial" w:cs="Arial"/>
          <w:sz w:val="24"/>
          <w:szCs w:val="24"/>
        </w:rPr>
      </w:pPr>
    </w:p>
    <w:p w14:paraId="71C68B46" w14:textId="4EDCA9CF" w:rsidR="008D6371" w:rsidRDefault="00AA424F" w:rsidP="003D219B">
      <w:pPr>
        <w:rPr>
          <w:sz w:val="24"/>
          <w:szCs w:val="24"/>
        </w:rPr>
      </w:pPr>
      <w:r>
        <w:rPr>
          <w:noProof/>
          <w:lang w:val="en-US" w:eastAsia="en-US"/>
        </w:rPr>
        <mc:AlternateContent>
          <mc:Choice Requires="cx1">
            <w:drawing>
              <wp:inline distT="0" distB="0" distL="0" distR="0" wp14:anchorId="026B3F3F" wp14:editId="7B523A56">
                <wp:extent cx="5821680" cy="3451860"/>
                <wp:effectExtent l="0" t="0" r="7620" b="15240"/>
                <wp:docPr id="7" name="Chart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1"/>
                  </a:graphicData>
                </a:graphic>
              </wp:inline>
            </w:drawing>
          </mc:Choice>
          <mc:Fallback>
            <w:drawing>
              <wp:inline distT="0" distB="0" distL="0" distR="0" wp14:anchorId="026B3F3F" wp14:editId="7B523A56">
                <wp:extent cx="5821680" cy="3451860"/>
                <wp:effectExtent l="0" t="0" r="7620" b="15240"/>
                <wp:docPr id="7" name="Chart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Chart 7">
                          <a:extLst>
                            <a:ext uri="{C183D7F6-B498-43B3-948B-1728B52AA6E4}">
                              <adec:decorative xmlns:adec="http://schemas.microsoft.com/office/drawing/2017/decorative" val="1"/>
                            </a:ext>
                          </a:extLst>
                        </pic:cNvPr>
                        <pic:cNvPicPr>
                          <a:picLocks noGrp="1" noRot="1" noChangeAspect="1" noMove="1" noResize="1" noEditPoints="1" noAdjustHandles="1" noChangeArrowheads="1" noChangeShapeType="1"/>
                        </pic:cNvPicPr>
                      </pic:nvPicPr>
                      <pic:blipFill>
                        <a:blip r:embed="rId12"/>
                        <a:stretch>
                          <a:fillRect/>
                        </a:stretch>
                      </pic:blipFill>
                      <pic:spPr>
                        <a:xfrm>
                          <a:off x="0" y="0"/>
                          <a:ext cx="5821680" cy="3451860"/>
                        </a:xfrm>
                        <a:prstGeom prst="rect">
                          <a:avLst/>
                        </a:prstGeom>
                      </pic:spPr>
                    </pic:pic>
                  </a:graphicData>
                </a:graphic>
              </wp:inline>
            </w:drawing>
          </mc:Fallback>
        </mc:AlternateContent>
      </w:r>
    </w:p>
    <w:p w14:paraId="1C33AA87" w14:textId="4B525C9B" w:rsidR="0010066B" w:rsidRDefault="00A33979" w:rsidP="003D04B8">
      <w:pPr>
        <w:pStyle w:val="Heading2"/>
        <w:rPr>
          <w:b/>
          <w:bCs/>
        </w:rPr>
      </w:pPr>
      <w:r w:rsidRPr="00715AE0">
        <w:rPr>
          <w:b/>
          <w:bCs/>
        </w:rPr>
        <w:lastRenderedPageBreak/>
        <w:t xml:space="preserve">Government Grants </w:t>
      </w:r>
    </w:p>
    <w:p w14:paraId="31B79009" w14:textId="77777777" w:rsidR="00E67E5E" w:rsidRPr="00E67E5E" w:rsidRDefault="00E67E5E" w:rsidP="00E67E5E"/>
    <w:p w14:paraId="0521C1B8" w14:textId="6B09D9A3" w:rsidR="00E75DBA" w:rsidRPr="0010066B" w:rsidRDefault="00AD6691" w:rsidP="003D04B8">
      <w:r>
        <w:t>Provincial operating grants are based on the current</w:t>
      </w:r>
      <w:r w:rsidR="00E75DBA" w:rsidRPr="0010066B">
        <w:t xml:space="preserve"> funding formula model </w:t>
      </w:r>
      <w:r>
        <w:t xml:space="preserve">introduced </w:t>
      </w:r>
      <w:r w:rsidR="00DA0D92">
        <w:t>in the</w:t>
      </w:r>
      <w:r w:rsidR="00E75DBA" w:rsidRPr="0010066B">
        <w:t xml:space="preserve"> 2017/2018 fiscal year.  This model </w:t>
      </w:r>
      <w:r w:rsidR="00DA0D92">
        <w:t>has three components:</w:t>
      </w:r>
    </w:p>
    <w:p w14:paraId="176FD15A" w14:textId="5B723914" w:rsidR="00DF0AE1" w:rsidRDefault="00E75DBA" w:rsidP="003D04B8">
      <w:pPr>
        <w:pStyle w:val="ListParagraph"/>
        <w:numPr>
          <w:ilvl w:val="0"/>
          <w:numId w:val="8"/>
        </w:numPr>
      </w:pPr>
      <w:r w:rsidRPr="000D4510">
        <w:t xml:space="preserve">The Core Operating Grant </w:t>
      </w:r>
      <w:r w:rsidR="00DA0D92" w:rsidRPr="000D4510">
        <w:t>uses an</w:t>
      </w:r>
      <w:r w:rsidRPr="000D4510">
        <w:t xml:space="preserve"> enrolment corridor mechanism with 2016/2017 </w:t>
      </w:r>
      <w:r w:rsidR="00DF0AE1">
        <w:t xml:space="preserve">eligible undergraduate and graduate </w:t>
      </w:r>
      <w:r w:rsidRPr="000D4510">
        <w:t xml:space="preserve">enrolment as the base year for the mid-point and with a range of +/- 3% for all universities.  The Core Operating Grant </w:t>
      </w:r>
      <w:r w:rsidR="00D2331D">
        <w:t xml:space="preserve">for 2019/2020 </w:t>
      </w:r>
      <w:r w:rsidRPr="000D4510">
        <w:t xml:space="preserve">will not </w:t>
      </w:r>
      <w:r w:rsidR="00AD6691">
        <w:t>change</w:t>
      </w:r>
      <w:r w:rsidRPr="000D4510">
        <w:t xml:space="preserve"> if enrolment </w:t>
      </w:r>
      <w:r w:rsidR="00AD6691">
        <w:t xml:space="preserve">stays within the prescribed corridor.  </w:t>
      </w:r>
    </w:p>
    <w:p w14:paraId="3B6A002A" w14:textId="77777777" w:rsidR="00DF0AE1" w:rsidRDefault="00DF0AE1" w:rsidP="003D04B8"/>
    <w:p w14:paraId="690FD34A" w14:textId="00FE4712" w:rsidR="000D4510" w:rsidRDefault="00AD6691" w:rsidP="003D04B8">
      <w:r>
        <w:t xml:space="preserve">Funding for enrolment </w:t>
      </w:r>
      <w:r w:rsidR="00E75DBA" w:rsidRPr="000D4510">
        <w:t>in excess of the corridor midpoint</w:t>
      </w:r>
      <w:r w:rsidR="00DF0AE1">
        <w:t>, if any is available,</w:t>
      </w:r>
      <w:r w:rsidR="00DA0D92" w:rsidRPr="000D4510">
        <w:t xml:space="preserve"> </w:t>
      </w:r>
      <w:r>
        <w:t xml:space="preserve">is </w:t>
      </w:r>
      <w:r w:rsidR="00DF0AE1">
        <w:t xml:space="preserve">managed </w:t>
      </w:r>
      <w:r>
        <w:t>separate</w:t>
      </w:r>
      <w:r w:rsidR="00DF0AE1">
        <w:t>ly</w:t>
      </w:r>
      <w:r>
        <w:t xml:space="preserve"> from the Core Operating Grant </w:t>
      </w:r>
      <w:r w:rsidR="00DF0AE1">
        <w:t xml:space="preserve">for </w:t>
      </w:r>
      <w:r w:rsidR="00E75DBA" w:rsidRPr="000D4510">
        <w:t xml:space="preserve">universities </w:t>
      </w:r>
      <w:r w:rsidR="00DF0AE1">
        <w:t>that</w:t>
      </w:r>
      <w:r w:rsidR="00E75DBA" w:rsidRPr="000D4510">
        <w:t xml:space="preserve"> negotiate</w:t>
      </w:r>
      <w:r w:rsidR="00DA0D92" w:rsidRPr="000D4510">
        <w:t>d</w:t>
      </w:r>
      <w:r w:rsidR="00E75DBA" w:rsidRPr="000D4510">
        <w:t xml:space="preserve"> growth funding through their Strategic Mandate Agreement (SMA). </w:t>
      </w:r>
      <w:r w:rsidR="00DF0AE1">
        <w:t xml:space="preserve"> Growth funding was provided on a one-time basis</w:t>
      </w:r>
      <w:r w:rsidR="00D2331D">
        <w:t xml:space="preserve"> in </w:t>
      </w:r>
      <w:r w:rsidR="00DF0AE1">
        <w:t xml:space="preserve">the 2017/2018 fiscal year.   </w:t>
      </w:r>
    </w:p>
    <w:p w14:paraId="59266D04" w14:textId="22FF23AA" w:rsidR="000D4510" w:rsidRDefault="000D4510" w:rsidP="003D04B8">
      <w:pPr>
        <w:ind w:firstLine="45"/>
      </w:pPr>
    </w:p>
    <w:p w14:paraId="50E354D6" w14:textId="744E05E8" w:rsidR="000D4510" w:rsidRDefault="000D4510" w:rsidP="003D04B8">
      <w:pPr>
        <w:pStyle w:val="ListParagraph"/>
        <w:numPr>
          <w:ilvl w:val="0"/>
          <w:numId w:val="8"/>
        </w:numPr>
      </w:pPr>
      <w:r w:rsidRPr="00D2331D">
        <w:t xml:space="preserve">Differentiation </w:t>
      </w:r>
      <w:r w:rsidR="00E420EE">
        <w:t>Grants</w:t>
      </w:r>
      <w:r w:rsidR="00A33979" w:rsidRPr="00D2331D">
        <w:t xml:space="preserve"> will be linked with key performance metrics</w:t>
      </w:r>
      <w:r w:rsidR="00703B0C">
        <w:t xml:space="preserve">.  </w:t>
      </w:r>
      <w:r w:rsidR="00A33979" w:rsidRPr="00D2331D">
        <w:t xml:space="preserve">These metrics </w:t>
      </w:r>
      <w:r w:rsidR="00DF0AE1" w:rsidRPr="00D2331D">
        <w:t>were</w:t>
      </w:r>
      <w:r w:rsidR="00A33979" w:rsidRPr="00D2331D">
        <w:t xml:space="preserve"> developed over SMA2 (201</w:t>
      </w:r>
      <w:r w:rsidR="00DF0AE1" w:rsidRPr="00D2331D">
        <w:t xml:space="preserve">7 to </w:t>
      </w:r>
      <w:r w:rsidR="00A33979" w:rsidRPr="00D2331D">
        <w:t>2020)</w:t>
      </w:r>
      <w:r w:rsidR="0001016B">
        <w:t xml:space="preserve"> </w:t>
      </w:r>
      <w:r w:rsidR="00DF0AE1" w:rsidRPr="00D2331D">
        <w:t>and are currently being revised to take effect with SMA3 (2020 to 2025).</w:t>
      </w:r>
      <w:r w:rsidR="00D2331D" w:rsidRPr="00D2331D">
        <w:t xml:space="preserve">  </w:t>
      </w:r>
    </w:p>
    <w:p w14:paraId="2D0D0CA0" w14:textId="77777777" w:rsidR="00D2331D" w:rsidRPr="00D2331D" w:rsidRDefault="00D2331D" w:rsidP="001042DF"/>
    <w:p w14:paraId="48135659" w14:textId="2EE18AC7" w:rsidR="000D4510" w:rsidRPr="003D04B8" w:rsidRDefault="00A33979" w:rsidP="003D04B8">
      <w:pPr>
        <w:pStyle w:val="ListParagraph"/>
        <w:numPr>
          <w:ilvl w:val="0"/>
          <w:numId w:val="8"/>
        </w:numPr>
        <w:rPr>
          <w:b/>
          <w:sz w:val="28"/>
          <w:szCs w:val="28"/>
        </w:rPr>
      </w:pPr>
      <w:r w:rsidRPr="000D4510">
        <w:t xml:space="preserve">Special Purpose Grants </w:t>
      </w:r>
      <w:r w:rsidR="00D2331D">
        <w:t>are separate grants aligned with Ministry priorities</w:t>
      </w:r>
      <w:r w:rsidRPr="000D4510">
        <w:t xml:space="preserve"> </w:t>
      </w:r>
      <w:r w:rsidR="00D2331D">
        <w:t xml:space="preserve">and are </w:t>
      </w:r>
      <w:r w:rsidRPr="000D4510">
        <w:t xml:space="preserve">subject to the </w:t>
      </w:r>
      <w:r w:rsidR="00D2331D">
        <w:t xml:space="preserve">specific </w:t>
      </w:r>
      <w:r w:rsidRPr="000D4510">
        <w:t xml:space="preserve">accountabilities and processes. </w:t>
      </w:r>
      <w:r w:rsidR="000D4510">
        <w:t>These grants are not dependent on enrolment.</w:t>
      </w:r>
    </w:p>
    <w:p w14:paraId="38242F0F" w14:textId="2AAADDCA" w:rsidR="0001016B" w:rsidRDefault="000D4510" w:rsidP="001042DF">
      <w:r>
        <w:t>For 201</w:t>
      </w:r>
      <w:r w:rsidR="00D2331D">
        <w:t>9</w:t>
      </w:r>
      <w:r>
        <w:t>/20</w:t>
      </w:r>
      <w:r w:rsidR="00D2331D">
        <w:t>20</w:t>
      </w:r>
      <w:r>
        <w:t xml:space="preserve"> budget planning, </w:t>
      </w:r>
      <w:r w:rsidR="0001016B">
        <w:t>government grant revenue is based on the following</w:t>
      </w:r>
      <w:r w:rsidR="00454514">
        <w:t xml:space="preserve"> </w:t>
      </w:r>
      <w:r w:rsidR="0001016B">
        <w:t>assumptions:</w:t>
      </w:r>
    </w:p>
    <w:p w14:paraId="420D65ED" w14:textId="07337FAC" w:rsidR="0001016B" w:rsidRDefault="0001016B" w:rsidP="003D04B8">
      <w:pPr>
        <w:pStyle w:val="ListParagraph"/>
        <w:numPr>
          <w:ilvl w:val="0"/>
          <w:numId w:val="9"/>
        </w:numPr>
      </w:pPr>
      <w:r>
        <w:t>C</w:t>
      </w:r>
      <w:r w:rsidR="000D4510" w:rsidRPr="0001016B">
        <w:t xml:space="preserve">ore operating </w:t>
      </w:r>
      <w:r w:rsidR="00D2331D" w:rsidRPr="0001016B">
        <w:t xml:space="preserve">grant </w:t>
      </w:r>
      <w:r w:rsidR="000D4510" w:rsidRPr="0001016B">
        <w:t>and differentiation funding will remain at 201</w:t>
      </w:r>
      <w:r w:rsidR="00D2331D" w:rsidRPr="0001016B">
        <w:t>6</w:t>
      </w:r>
      <w:r w:rsidR="000D4510" w:rsidRPr="0001016B">
        <w:t>/201</w:t>
      </w:r>
      <w:r w:rsidR="00D2331D" w:rsidRPr="0001016B">
        <w:t>7</w:t>
      </w:r>
      <w:r w:rsidR="000D4510" w:rsidRPr="0001016B">
        <w:t xml:space="preserve"> </w:t>
      </w:r>
      <w:r w:rsidR="001042DF" w:rsidRPr="0001016B">
        <w:t>levels</w:t>
      </w:r>
      <w:r w:rsidR="001042DF">
        <w:t>.</w:t>
      </w:r>
    </w:p>
    <w:p w14:paraId="67D84DD1" w14:textId="77777777" w:rsidR="00454514" w:rsidRDefault="00454514" w:rsidP="001042DF"/>
    <w:p w14:paraId="0AC7D275" w14:textId="6F931562" w:rsidR="0001016B" w:rsidRPr="00454514" w:rsidRDefault="00D2331D" w:rsidP="003D04B8">
      <w:pPr>
        <w:pStyle w:val="ListParagraph"/>
        <w:numPr>
          <w:ilvl w:val="0"/>
          <w:numId w:val="9"/>
        </w:numPr>
      </w:pPr>
      <w:r w:rsidRPr="0001016B">
        <w:t xml:space="preserve">As stated in the fiscal environment, growth funding for 2018/2019 and 2019/2020 remains uncertain at this time.  Based on the </w:t>
      </w:r>
      <w:r w:rsidR="0001016B" w:rsidRPr="0001016B">
        <w:t xml:space="preserve">increase of </w:t>
      </w:r>
      <w:r w:rsidRPr="0001016B">
        <w:t xml:space="preserve">eligible enrolment since 2016/2017, the University estimates enrolment growth </w:t>
      </w:r>
      <w:r w:rsidR="0001016B" w:rsidRPr="0001016B">
        <w:t xml:space="preserve">funding </w:t>
      </w:r>
      <w:r w:rsidRPr="0001016B">
        <w:t>of approximately $7.8 million</w:t>
      </w:r>
      <w:r w:rsidR="0001016B" w:rsidRPr="0001016B">
        <w:t xml:space="preserve"> for </w:t>
      </w:r>
      <w:r w:rsidRPr="0001016B">
        <w:t>2019/2020</w:t>
      </w:r>
      <w:r w:rsidR="0001016B" w:rsidRPr="0001016B">
        <w:t xml:space="preserve">; </w:t>
      </w:r>
      <w:r w:rsidR="0001016B" w:rsidRPr="003D04B8">
        <w:rPr>
          <w:b/>
        </w:rPr>
        <w:t xml:space="preserve">this amount has been included in budgeted </w:t>
      </w:r>
      <w:r w:rsidR="001042DF" w:rsidRPr="003D04B8">
        <w:rPr>
          <w:b/>
        </w:rPr>
        <w:t>revenue</w:t>
      </w:r>
      <w:r w:rsidR="001042DF">
        <w:t>.</w:t>
      </w:r>
      <w:r w:rsidR="00454514">
        <w:t xml:space="preserve"> </w:t>
      </w:r>
    </w:p>
    <w:p w14:paraId="7D26C64E" w14:textId="389FBF7D" w:rsidR="00454514" w:rsidRDefault="00454514" w:rsidP="001042DF"/>
    <w:p w14:paraId="495BF34F" w14:textId="711907C1" w:rsidR="000D4510" w:rsidRDefault="00454514" w:rsidP="003D04B8">
      <w:pPr>
        <w:pStyle w:val="ListParagraph"/>
        <w:numPr>
          <w:ilvl w:val="0"/>
          <w:numId w:val="9"/>
        </w:numPr>
      </w:pPr>
      <w:r>
        <w:t>S</w:t>
      </w:r>
      <w:r w:rsidR="000D4510" w:rsidRPr="0001016B">
        <w:t>pecial purpose grants have been adjusted based on known changes at the time of planning.</w:t>
      </w:r>
      <w:r>
        <w:t xml:space="preserve">  This includes the loss of the Graduate</w:t>
      </w:r>
      <w:r w:rsidRPr="00454514">
        <w:t xml:space="preserve"> </w:t>
      </w:r>
      <w:r>
        <w:t xml:space="preserve">Enrolment Capital Expansion Program funding which is no longer supported by the Ministry per the April 12, </w:t>
      </w:r>
      <w:r w:rsidR="001042DF">
        <w:t>2019,</w:t>
      </w:r>
      <w:r>
        <w:t xml:space="preserve"> announcement.  </w:t>
      </w:r>
      <w:r w:rsidR="0090025B">
        <w:t>In addition, the two-</w:t>
      </w:r>
      <w:r w:rsidR="0090025B">
        <w:lastRenderedPageBreak/>
        <w:t xml:space="preserve">year agreement for Career Ready Funding ended April 30, </w:t>
      </w:r>
      <w:r w:rsidR="001042DF">
        <w:t>2019,</w:t>
      </w:r>
      <w:r w:rsidR="0090025B">
        <w:t xml:space="preserve"> so </w:t>
      </w:r>
      <w:r w:rsidR="0061495A">
        <w:t>this funding</w:t>
      </w:r>
      <w:r w:rsidR="00A8236F">
        <w:t xml:space="preserve"> </w:t>
      </w:r>
      <w:r w:rsidR="0090025B">
        <w:t xml:space="preserve">has been eliminated from the 2019/2020 grant revenue </w:t>
      </w:r>
      <w:r w:rsidR="003D219B">
        <w:t>assumptions:</w:t>
      </w:r>
      <w:r w:rsidR="00703B0C">
        <w:t xml:space="preserve"> and</w:t>
      </w:r>
    </w:p>
    <w:p w14:paraId="26F734BA" w14:textId="79C0664F" w:rsidR="0090025B" w:rsidRDefault="0090025B" w:rsidP="003D04B8">
      <w:pPr>
        <w:pStyle w:val="ListParagraph"/>
        <w:numPr>
          <w:ilvl w:val="0"/>
          <w:numId w:val="9"/>
        </w:numPr>
      </w:pPr>
      <w:r>
        <w:t>Other grants assumed in the 2019/2020 budget include: the Collaborative Nursing grant with Fleming College; the Research Support grant; and the Durham Service Teaching revenue, which has been prorated this year as UOIT is ending this agreement at the end of August 2019 as part of their budget reduction strategies.</w:t>
      </w:r>
    </w:p>
    <w:p w14:paraId="6521ECC4" w14:textId="77777777" w:rsidR="00E67E5E" w:rsidRPr="0001016B" w:rsidRDefault="00E67E5E" w:rsidP="00E67E5E">
      <w:pPr>
        <w:pStyle w:val="ListParagraph"/>
      </w:pPr>
    </w:p>
    <w:p w14:paraId="00299281" w14:textId="440A09BA" w:rsidR="0090025B" w:rsidRDefault="00703B0C" w:rsidP="001042DF">
      <w:r w:rsidRPr="00703B0C">
        <w:rPr>
          <w:noProof/>
          <w:lang w:val="en-US" w:eastAsia="en-US"/>
        </w:rPr>
        <w:drawing>
          <wp:inline distT="0" distB="0" distL="0" distR="0" wp14:anchorId="240F7B0C" wp14:editId="6A1D680F">
            <wp:extent cx="6553200" cy="3314700"/>
            <wp:effectExtent l="0" t="0" r="0" b="0"/>
            <wp:docPr id="20" name="Chart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35D1168" w14:textId="77777777" w:rsidR="00E67E5E" w:rsidRDefault="00337DE5" w:rsidP="00E67E5E">
      <w:pPr>
        <w:rPr>
          <w:rStyle w:val="SubtleEmphasis"/>
        </w:rPr>
      </w:pPr>
      <w:r>
        <w:rPr>
          <w:noProof/>
          <w:lang w:val="en-US" w:eastAsia="en-US"/>
        </w:rPr>
        <w:lastRenderedPageBreak/>
        <w:drawing>
          <wp:inline distT="0" distB="0" distL="0" distR="0" wp14:anchorId="362A9A52" wp14:editId="175FC1C5">
            <wp:extent cx="6065520" cy="3299460"/>
            <wp:effectExtent l="0" t="0" r="0" b="0"/>
            <wp:docPr id="8" name="Chart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C17335" w:rsidRPr="001042DF">
        <w:rPr>
          <w:rStyle w:val="SubtleEmphasis"/>
        </w:rPr>
        <w:t>*Subject to Ministry confirmation</w:t>
      </w:r>
      <w:r w:rsidR="00403E62" w:rsidRPr="001042DF">
        <w:rPr>
          <w:rStyle w:val="SubtleEmphasis"/>
        </w:rPr>
        <w:t>; no growth funding received in 2018/2019</w:t>
      </w:r>
    </w:p>
    <w:p w14:paraId="4FC9F409" w14:textId="77777777" w:rsidR="00E67E5E" w:rsidRDefault="00E67E5E" w:rsidP="00E67E5E">
      <w:pPr>
        <w:rPr>
          <w:rStyle w:val="SubtleEmphasis"/>
        </w:rPr>
      </w:pPr>
    </w:p>
    <w:p w14:paraId="1B305146" w14:textId="44717608" w:rsidR="0010066B" w:rsidRPr="00E67E5E" w:rsidRDefault="00A33979" w:rsidP="00E67E5E">
      <w:pPr>
        <w:pStyle w:val="Heading2"/>
        <w:rPr>
          <w:b/>
          <w:bCs/>
          <w:i/>
          <w:iCs/>
        </w:rPr>
      </w:pPr>
      <w:r w:rsidRPr="00E67E5E">
        <w:rPr>
          <w:b/>
          <w:bCs/>
        </w:rPr>
        <w:t xml:space="preserve">Tuition </w:t>
      </w:r>
      <w:r w:rsidR="002605B0" w:rsidRPr="00E67E5E">
        <w:rPr>
          <w:b/>
          <w:bCs/>
        </w:rPr>
        <w:t>Fees</w:t>
      </w:r>
    </w:p>
    <w:p w14:paraId="575C882D" w14:textId="77777777" w:rsidR="003D04B8" w:rsidRPr="003D04B8" w:rsidRDefault="003D04B8" w:rsidP="003D04B8"/>
    <w:p w14:paraId="7D1D00F1" w14:textId="5714E85B" w:rsidR="00E420EE" w:rsidRDefault="0010066B" w:rsidP="001042DF">
      <w:r>
        <w:t xml:space="preserve">The tuition fee policy is governed and monitored by the provincial </w:t>
      </w:r>
      <w:r w:rsidR="00285662">
        <w:t>government. T</w:t>
      </w:r>
      <w:r w:rsidR="00A33979" w:rsidRPr="0010066B">
        <w:t>he Ministry’s tuition fee policy</w:t>
      </w:r>
      <w:r w:rsidR="00301CD1">
        <w:t xml:space="preserve"> for 2019/2020 stipulates that tuition fees for all publicly funded programs for each year of study for funding-eligible (primarily domestic) </w:t>
      </w:r>
      <w:r w:rsidR="00285662">
        <w:t>undergraduate and graduate students</w:t>
      </w:r>
      <w:r w:rsidR="00301CD1">
        <w:t xml:space="preserve"> be reduced by 10% compared to 2018/2019 fees</w:t>
      </w:r>
      <w:r w:rsidR="00491912">
        <w:t xml:space="preserve">.  </w:t>
      </w:r>
      <w:r w:rsidR="00301CD1">
        <w:t>Furthermore, during 2020/2021, institutions are required to freeze eligible tuition fees at 201</w:t>
      </w:r>
      <w:r w:rsidR="002C1FE6">
        <w:t>9</w:t>
      </w:r>
      <w:r w:rsidR="00301CD1">
        <w:t>/20</w:t>
      </w:r>
      <w:r w:rsidR="002C1FE6">
        <w:t>20</w:t>
      </w:r>
      <w:r w:rsidR="00301CD1">
        <w:t xml:space="preserve"> tuition rates.  </w:t>
      </w:r>
    </w:p>
    <w:p w14:paraId="1255D40A" w14:textId="5BFEDC48" w:rsidR="00491912" w:rsidRDefault="00301CD1" w:rsidP="001042DF">
      <w:r>
        <w:t xml:space="preserve">In compliance with this policy, </w:t>
      </w:r>
      <w:r w:rsidR="008B6A6D">
        <w:t xml:space="preserve">Trent has </w:t>
      </w:r>
      <w:r>
        <w:t>reduced its domestic tuition rates by 10% for the 2019/2020 academic year, a loss of approximately $8.2 million from the previously anticipated tuition fees revenue</w:t>
      </w:r>
      <w:r w:rsidR="008C2067">
        <w:t xml:space="preserve"> for the fiscal year</w:t>
      </w:r>
      <w:r>
        <w:t>.</w:t>
      </w:r>
      <w:r w:rsidR="00491912">
        <w:t xml:space="preserve"> </w:t>
      </w:r>
      <w:r w:rsidR="004718D3">
        <w:t xml:space="preserve"> </w:t>
      </w:r>
      <w:r w:rsidR="008C2067">
        <w:t>The increase in enrolment will partly offset this estimated revenue loss.</w:t>
      </w:r>
    </w:p>
    <w:p w14:paraId="1545FE16" w14:textId="738A243B" w:rsidR="003E02DC" w:rsidRDefault="008B6A6D" w:rsidP="001042DF">
      <w:r>
        <w:t xml:space="preserve">International fees are not regulated by the province.  </w:t>
      </w:r>
      <w:r w:rsidR="00491912">
        <w:t xml:space="preserve">Trent currently has the </w:t>
      </w:r>
      <w:r w:rsidR="00301CD1">
        <w:t>fourth</w:t>
      </w:r>
      <w:r w:rsidR="00491912">
        <w:t xml:space="preserve"> lowest international tuition fees of 19 Ontario universities</w:t>
      </w:r>
      <w:r w:rsidR="00E54295">
        <w:rPr>
          <w:rStyle w:val="FootnoteReference"/>
          <w:rFonts w:ascii="Arial" w:hAnsi="Arial" w:cs="Arial"/>
          <w:sz w:val="24"/>
          <w:szCs w:val="24"/>
        </w:rPr>
        <w:footnoteReference w:id="1"/>
      </w:r>
      <w:r w:rsidR="00491912">
        <w:t xml:space="preserve">.  </w:t>
      </w:r>
      <w:proofErr w:type="gramStart"/>
      <w:r w:rsidR="00491912">
        <w:t>In an effort to</w:t>
      </w:r>
      <w:proofErr w:type="gramEnd"/>
      <w:r w:rsidR="00491912">
        <w:t xml:space="preserve"> grow international enrolment and remain competitive, Trent has approved an increase of 3% for continuing students and an increase of 5% for new undergraduate students entering in 201</w:t>
      </w:r>
      <w:r w:rsidR="00301CD1">
        <w:t>9</w:t>
      </w:r>
      <w:r w:rsidR="00491912">
        <w:t>/20</w:t>
      </w:r>
      <w:r w:rsidR="00301CD1">
        <w:t>20.</w:t>
      </w:r>
    </w:p>
    <w:p w14:paraId="358F8A5A" w14:textId="5FA76A54" w:rsidR="00301CD1" w:rsidRDefault="00301CD1" w:rsidP="003D219B">
      <w:r w:rsidRPr="00301CD1">
        <w:rPr>
          <w:noProof/>
          <w:lang w:val="en-US" w:eastAsia="en-US"/>
        </w:rPr>
        <w:lastRenderedPageBreak/>
        <w:drawing>
          <wp:inline distT="0" distB="0" distL="0" distR="0" wp14:anchorId="34A6FC2C" wp14:editId="4F9966E6">
            <wp:extent cx="6256020" cy="3604260"/>
            <wp:effectExtent l="0" t="0" r="6350" b="0"/>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022662" w14:textId="2CD7524E" w:rsidR="008C2067" w:rsidRDefault="008C2067" w:rsidP="001042DF">
      <w:r>
        <w:rPr>
          <w:noProof/>
          <w:lang w:val="en-US" w:eastAsia="en-US"/>
        </w:rPr>
        <w:drawing>
          <wp:inline distT="0" distB="0" distL="0" distR="0" wp14:anchorId="5B7D4A95" wp14:editId="2E281E79">
            <wp:extent cx="5943600" cy="3233139"/>
            <wp:effectExtent l="0" t="0" r="0" b="5715"/>
            <wp:docPr id="6" name="Chart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FFC7899" w14:textId="77777777" w:rsidR="00E67E5E" w:rsidRDefault="00E67E5E" w:rsidP="003D04B8">
      <w:pPr>
        <w:pStyle w:val="Heading2"/>
        <w:rPr>
          <w:b/>
          <w:bCs/>
        </w:rPr>
      </w:pPr>
    </w:p>
    <w:p w14:paraId="4F6A5010" w14:textId="77777777" w:rsidR="00E67E5E" w:rsidRDefault="00E67E5E" w:rsidP="003D04B8">
      <w:pPr>
        <w:pStyle w:val="Heading2"/>
        <w:rPr>
          <w:b/>
          <w:bCs/>
        </w:rPr>
      </w:pPr>
    </w:p>
    <w:p w14:paraId="58AF10FC" w14:textId="33AB5861" w:rsidR="00DB798F" w:rsidRPr="003D04B8" w:rsidRDefault="00A33979" w:rsidP="003D04B8">
      <w:pPr>
        <w:pStyle w:val="Heading2"/>
        <w:rPr>
          <w:b/>
          <w:bCs/>
          <w:color w:val="5B9BD5" w:themeColor="accent1"/>
        </w:rPr>
      </w:pPr>
      <w:r w:rsidRPr="00715AE0">
        <w:rPr>
          <w:b/>
          <w:bCs/>
        </w:rPr>
        <w:t xml:space="preserve">Student </w:t>
      </w:r>
      <w:r w:rsidR="002605B0" w:rsidRPr="00715AE0">
        <w:rPr>
          <w:b/>
          <w:bCs/>
        </w:rPr>
        <w:t xml:space="preserve">Financial </w:t>
      </w:r>
      <w:r w:rsidRPr="00715AE0">
        <w:rPr>
          <w:b/>
          <w:bCs/>
        </w:rPr>
        <w:t xml:space="preserve">Aid and Scholarships </w:t>
      </w:r>
    </w:p>
    <w:p w14:paraId="3BB3ED62" w14:textId="77777777" w:rsidR="003D04B8" w:rsidRPr="003D04B8" w:rsidRDefault="003D04B8" w:rsidP="003D04B8"/>
    <w:p w14:paraId="50AB1A1C" w14:textId="683F9222" w:rsidR="000321D0" w:rsidRDefault="000321D0" w:rsidP="001042DF">
      <w:r>
        <w:t>Student aid and scholarship expense is a highly variable cost dependent primarily on student enrolment and the academic qualifications</w:t>
      </w:r>
      <w:r w:rsidR="009C34BA">
        <w:t xml:space="preserve"> (entrance grades)</w:t>
      </w:r>
      <w:r>
        <w:t xml:space="preserve"> of the student body.</w:t>
      </w:r>
    </w:p>
    <w:p w14:paraId="0F6D2DCD" w14:textId="77777777" w:rsidR="00E54295" w:rsidRPr="00E54295" w:rsidRDefault="00E54295" w:rsidP="001042DF">
      <w:r w:rsidRPr="00E54295">
        <w:t>The University has historically provided a high level of student aid relative to comparator universities, consistently standing at or near the top of university rankings in the percentage of its operating budget expended on scholarships and bursaries.  Trent was #1 in Canada for scholarships and bursaries in 2018.</w:t>
      </w:r>
      <w:r w:rsidRPr="00E54295">
        <w:rPr>
          <w:rStyle w:val="FootnoteReference"/>
          <w:rFonts w:ascii="Arial" w:hAnsi="Arial" w:cs="Arial"/>
          <w:sz w:val="24"/>
          <w:szCs w:val="24"/>
        </w:rPr>
        <w:footnoteReference w:id="2"/>
      </w:r>
      <w:r w:rsidRPr="00E54295">
        <w:t xml:space="preserve"> </w:t>
      </w:r>
    </w:p>
    <w:p w14:paraId="4F2B7C39" w14:textId="583E8CAB" w:rsidR="00A33979" w:rsidRPr="00DB798F" w:rsidRDefault="000321D0" w:rsidP="001042DF">
      <w:r>
        <w:t xml:space="preserve">The Ministry requires universities to reserve a portion of additional revenue resulting from tuition fee increases to eligible domestic students to ensure that institutions can meet Student Access Guarantee requirements for need-based student </w:t>
      </w:r>
      <w:r w:rsidR="003D04B8">
        <w:t>aid and</w:t>
      </w:r>
      <w:r>
        <w:t xml:space="preserve"> provide other forms of assistance to students in need. </w:t>
      </w:r>
      <w:r w:rsidR="00AD1832" w:rsidRPr="00DB798F">
        <w:t xml:space="preserve"> </w:t>
      </w:r>
      <w:r w:rsidR="007C7397">
        <w:t>For the purposes of budget planning, tuition set-aside is estimated at 6.0% of tuition fee revenue for eligible domestic undergraduate and graduate students.</w:t>
      </w:r>
    </w:p>
    <w:p w14:paraId="6C2D4594" w14:textId="2EB34B78" w:rsidR="003E4CF9" w:rsidRDefault="007C7397" w:rsidP="001042DF">
      <w:r w:rsidRPr="003E4CF9">
        <w:t>Based on the past three years, undergraduate scholarship costs have increased from 8.</w:t>
      </w:r>
      <w:r w:rsidR="00E54295" w:rsidRPr="003E4CF9">
        <w:t>6</w:t>
      </w:r>
      <w:r w:rsidRPr="003E4CF9">
        <w:t xml:space="preserve">% to </w:t>
      </w:r>
      <w:r w:rsidR="00E54295" w:rsidRPr="003E4CF9">
        <w:t>11.0</w:t>
      </w:r>
      <w:r w:rsidRPr="003E4CF9">
        <w:t>% of gross undergraduate tuition fees revenue</w:t>
      </w:r>
      <w:r w:rsidR="003E4CF9" w:rsidRPr="003E4CF9">
        <w:t xml:space="preserve"> for eligible (essentially domestic) students</w:t>
      </w:r>
      <w:r w:rsidRPr="003E4CF9">
        <w:t xml:space="preserve">.  </w:t>
      </w:r>
      <w:r>
        <w:t xml:space="preserve">As a result, the University is planning for undergraduate scholarship expense to be approximately </w:t>
      </w:r>
      <w:r w:rsidR="00E54295">
        <w:t>11</w:t>
      </w:r>
      <w:r>
        <w:t>.0% of gross undergraduate tuition fees revenue.</w:t>
      </w:r>
      <w:r w:rsidR="003E4CF9" w:rsidRPr="003E4CF9">
        <w:t xml:space="preserve"> </w:t>
      </w:r>
    </w:p>
    <w:p w14:paraId="2F630FDD" w14:textId="56FF08A1" w:rsidR="003E4CF9" w:rsidRDefault="00F375BD" w:rsidP="001042DF">
      <w:r w:rsidRPr="001042DF">
        <w:t>Graduate scholarship expense varies significantly,</w:t>
      </w:r>
      <w:r w:rsidR="00DC28C6" w:rsidRPr="001042DF">
        <w:t xml:space="preserve"> depending on the program.  Based on the average of the most recent three years, graduate student aid is budgeted at 24.8% of</w:t>
      </w:r>
      <w:r w:rsidR="00DC28C6">
        <w:t xml:space="preserve"> tuition for non-professional programs and international student differential fee waivers is budgeted at 29.9% of international student tuition for non-professional programs.</w:t>
      </w:r>
    </w:p>
    <w:p w14:paraId="73E83F1D" w14:textId="0B7A0BDF" w:rsidR="00D275DE" w:rsidRDefault="003E4CF9" w:rsidP="001042DF">
      <w:r>
        <w:t>Th</w:t>
      </w:r>
      <w:r w:rsidR="00F375BD">
        <w:t>e</w:t>
      </w:r>
      <w:r>
        <w:t xml:space="preserve"> </w:t>
      </w:r>
      <w:r w:rsidR="00F375BD">
        <w:t xml:space="preserve">budget planning </w:t>
      </w:r>
      <w:r>
        <w:t>estimate</w:t>
      </w:r>
      <w:r w:rsidR="00F375BD">
        <w:t>s for domestic scholarship expense</w:t>
      </w:r>
      <w:r>
        <w:t xml:space="preserve"> </w:t>
      </w:r>
      <w:r w:rsidR="00F375BD">
        <w:t>were</w:t>
      </w:r>
      <w:r>
        <w:t xml:space="preserve"> made before the Ministry announcement to reduce regulated tuition fees for 2019/2020</w:t>
      </w:r>
      <w:r w:rsidR="00F375BD">
        <w:t>.  The University did not have appropriate time to react to the late announcement in January 2019 as the promotion of Trent’s scholarship program for the fiscal year began in the Fall 2018.  Therefore, the initial estimates for this expense were</w:t>
      </w:r>
      <w:r>
        <w:t xml:space="preserve"> not adjusted (an impact of approximately $900,000)</w:t>
      </w:r>
      <w:r w:rsidR="00F375BD">
        <w:t xml:space="preserve"> for this fiscal year.  </w:t>
      </w:r>
      <w:r>
        <w:t xml:space="preserve">It is anticipated that </w:t>
      </w:r>
      <w:r w:rsidR="00F375BD">
        <w:t>domestic</w:t>
      </w:r>
      <w:r>
        <w:t xml:space="preserve"> scholarships will be reduced to correspond to the related tuition fees revenue in future years.</w:t>
      </w:r>
    </w:p>
    <w:p w14:paraId="358C4DB4" w14:textId="1761B4B3" w:rsidR="007C7397" w:rsidRPr="007C7397" w:rsidRDefault="007C7397" w:rsidP="001042DF">
      <w:r>
        <w:t>Over the past three years, international scholarship costs have</w:t>
      </w:r>
      <w:r w:rsidR="00F375BD">
        <w:t xml:space="preserve"> decreased from 7</w:t>
      </w:r>
      <w:r>
        <w:t xml:space="preserve">.0% to </w:t>
      </w:r>
      <w:r w:rsidR="00F375BD">
        <w:t>6.37</w:t>
      </w:r>
      <w:r>
        <w:t xml:space="preserve">% of gross international tuition fees revenue.  </w:t>
      </w:r>
      <w:r w:rsidR="00F375BD">
        <w:t>Therefore, f</w:t>
      </w:r>
      <w:r>
        <w:t xml:space="preserve">or the purposes of budgeting, the University anticipates international scholarship expense will be approximately </w:t>
      </w:r>
      <w:r w:rsidR="00F375BD">
        <w:t>6.37</w:t>
      </w:r>
      <w:r>
        <w:t>% of gross international tuition fees revenue.</w:t>
      </w:r>
    </w:p>
    <w:p w14:paraId="65026CF4" w14:textId="72A76817" w:rsidR="00DB798F" w:rsidRPr="003D04B8" w:rsidRDefault="00DB798F" w:rsidP="003D04B8">
      <w:pPr>
        <w:pStyle w:val="Heading2"/>
        <w:rPr>
          <w:b/>
          <w:bCs/>
          <w:color w:val="5B9BD5" w:themeColor="accent1"/>
        </w:rPr>
      </w:pPr>
      <w:r w:rsidRPr="00715AE0">
        <w:rPr>
          <w:b/>
          <w:bCs/>
        </w:rPr>
        <w:lastRenderedPageBreak/>
        <w:t>Salaries and Benefits</w:t>
      </w:r>
    </w:p>
    <w:p w14:paraId="1B5130BF" w14:textId="77777777" w:rsidR="003D04B8" w:rsidRPr="003D04B8" w:rsidRDefault="003D04B8" w:rsidP="003D04B8"/>
    <w:p w14:paraId="7CC6C97A" w14:textId="5E6DF2A5" w:rsidR="00F375BD" w:rsidRDefault="00AD1832" w:rsidP="001042DF">
      <w:r w:rsidRPr="00DB798F">
        <w:t xml:space="preserve">Salary rate increases for all groups are based on the collective agreements, as well as progression through the </w:t>
      </w:r>
      <w:r w:rsidR="007C7397">
        <w:t>salary grids</w:t>
      </w:r>
      <w:r w:rsidRPr="00DB798F">
        <w:t>.</w:t>
      </w:r>
      <w:r w:rsidR="00BC4B95" w:rsidRPr="00DB798F">
        <w:t xml:space="preserve">  </w:t>
      </w:r>
      <w:r w:rsidR="007C7397">
        <w:t>Salary rat</w:t>
      </w:r>
      <w:r w:rsidR="00F375BD">
        <w:t>e increases range from 1.5% to 4.75</w:t>
      </w:r>
      <w:r w:rsidR="007C7397">
        <w:t xml:space="preserve">%, with the average increase of </w:t>
      </w:r>
      <w:r w:rsidR="00F375BD">
        <w:t>3.7</w:t>
      </w:r>
      <w:r w:rsidR="002C33C2">
        <w:t xml:space="preserve">%.  At the time of planning, the collective agreements for TUFA, representing full-time faculty and professional librarians, and CUPE1, representing part-time employees engaged in teaching, demonstrating, tutoring, or marking in the academic programs (except registered students) were set to expire on June 30, </w:t>
      </w:r>
      <w:r w:rsidR="003D04B8">
        <w:t>2019,</w:t>
      </w:r>
      <w:r w:rsidR="002C33C2">
        <w:t xml:space="preserve"> and August 31, </w:t>
      </w:r>
      <w:proofErr w:type="gramStart"/>
      <w:r w:rsidR="002C33C2">
        <w:t>2019</w:t>
      </w:r>
      <w:proofErr w:type="gramEnd"/>
      <w:r w:rsidR="002C33C2">
        <w:t xml:space="preserve"> respectively.  As negotiations were pending, the budget assumed salary rate increases for both employee groups based on the average of known negotiated settlements of comparator groups.</w:t>
      </w:r>
    </w:p>
    <w:p w14:paraId="291ABEAF" w14:textId="71F79637" w:rsidR="00AD1832" w:rsidRDefault="00BC4B95" w:rsidP="001042DF">
      <w:r w:rsidRPr="00DB798F">
        <w:t>Benefit rates</w:t>
      </w:r>
      <w:r w:rsidR="000C496B">
        <w:t>, including health, dental, and long-term disability benefits,</w:t>
      </w:r>
      <w:r w:rsidRPr="00DB798F">
        <w:t xml:space="preserve"> are</w:t>
      </w:r>
      <w:r w:rsidR="000C496B">
        <w:t xml:space="preserve"> </w:t>
      </w:r>
      <w:r w:rsidR="002C33C2">
        <w:t xml:space="preserve">expected to increase from 5% to 20% depending on the type of benefit </w:t>
      </w:r>
      <w:r w:rsidRPr="00DB798F">
        <w:t xml:space="preserve">in accordance with </w:t>
      </w:r>
      <w:r w:rsidR="000C496B">
        <w:t>estimates</w:t>
      </w:r>
      <w:r w:rsidRPr="00DB798F">
        <w:t xml:space="preserve"> provided by the University’s benefits consultant.</w:t>
      </w:r>
    </w:p>
    <w:p w14:paraId="424A9F8F" w14:textId="77777777" w:rsidR="00D557CC" w:rsidRDefault="00D557CC" w:rsidP="001042DF"/>
    <w:p w14:paraId="02120496" w14:textId="14C7C291" w:rsidR="00DB798F" w:rsidRPr="003D04B8" w:rsidRDefault="00DB798F" w:rsidP="003D04B8">
      <w:pPr>
        <w:pStyle w:val="Heading2"/>
        <w:rPr>
          <w:b/>
          <w:bCs/>
          <w:color w:val="5B9BD5" w:themeColor="accent1"/>
        </w:rPr>
      </w:pPr>
      <w:r w:rsidRPr="00715AE0">
        <w:rPr>
          <w:b/>
          <w:bCs/>
        </w:rPr>
        <w:t>Pension Costs</w:t>
      </w:r>
    </w:p>
    <w:p w14:paraId="4E7FEA79" w14:textId="77777777" w:rsidR="003D04B8" w:rsidRPr="003D04B8" w:rsidRDefault="003D04B8" w:rsidP="003D04B8"/>
    <w:p w14:paraId="78F706B3" w14:textId="76BD734B" w:rsidR="000C496B" w:rsidRDefault="000C496B" w:rsidP="001042DF">
      <w:pPr>
        <w:rPr>
          <w:color w:val="000000" w:themeColor="text1"/>
        </w:rPr>
      </w:pPr>
      <w:r w:rsidRPr="000C496B">
        <w:t xml:space="preserve">The TUFA Pension Plan is a registered pension plan for which an actuarial valuation is prepared annually with required filing every three years.  Based on the most recent actuarial valuation </w:t>
      </w:r>
      <w:proofErr w:type="gramStart"/>
      <w:r w:rsidRPr="000C496B">
        <w:t>at</w:t>
      </w:r>
      <w:proofErr w:type="gramEnd"/>
      <w:r w:rsidRPr="000C496B">
        <w:t xml:space="preserve"> June 30, 201</w:t>
      </w:r>
      <w:r w:rsidR="002C33C2">
        <w:t>8</w:t>
      </w:r>
      <w:r w:rsidRPr="000C496B">
        <w:t xml:space="preserve"> (a non-filing year), the University’s normal cost is expected to i</w:t>
      </w:r>
      <w:r>
        <w:t>ncrease to 11.</w:t>
      </w:r>
      <w:r w:rsidR="002C33C2">
        <w:t>67</w:t>
      </w:r>
      <w:r>
        <w:t xml:space="preserve">% </w:t>
      </w:r>
      <w:r w:rsidR="00174F59">
        <w:t xml:space="preserve">(from 11.56%) </w:t>
      </w:r>
      <w:r>
        <w:t>of payroll.  Going concern and solvency special payments remain unchanged at $4.586</w:t>
      </w:r>
      <w:r w:rsidR="00AF334A">
        <w:t xml:space="preserve"> million and $1.339 million, respectively.  Trent continues to pursue the opportunity to join a new sector-level Jointly sponsored Pension Plan (JSPP) to eliminate the solvency special payments; it is hoped that this can be accomplished </w:t>
      </w:r>
      <w:r w:rsidR="00174F59">
        <w:t>by January 1, 2022.</w:t>
      </w:r>
    </w:p>
    <w:p w14:paraId="1C0DAFA8" w14:textId="77777777" w:rsidR="00174F59" w:rsidRDefault="00AF334A" w:rsidP="001042DF">
      <w:r w:rsidRPr="00AF334A">
        <w:t xml:space="preserve">The OPSEU/Exempt Pension Plan is a registered pension plan for which an actuarial valuation is prepared annually with required filing every three years.  Based on the most recent actuarial valuation </w:t>
      </w:r>
      <w:proofErr w:type="gramStart"/>
      <w:r w:rsidRPr="00AF334A">
        <w:t>at</w:t>
      </w:r>
      <w:proofErr w:type="gramEnd"/>
      <w:r w:rsidRPr="00AF334A">
        <w:t xml:space="preserve"> July 1, 201</w:t>
      </w:r>
      <w:r w:rsidR="00174F59">
        <w:t>8</w:t>
      </w:r>
      <w:r w:rsidRPr="00AF334A">
        <w:t xml:space="preserve"> (a </w:t>
      </w:r>
      <w:r w:rsidR="00174F59">
        <w:t>non-</w:t>
      </w:r>
      <w:r w:rsidRPr="00AF334A">
        <w:t>filing year), the University’s normal cost is expected to increase to 10.6</w:t>
      </w:r>
      <w:r w:rsidR="00174F59">
        <w:t>5</w:t>
      </w:r>
      <w:r w:rsidRPr="00AF334A">
        <w:t xml:space="preserve">% </w:t>
      </w:r>
      <w:r w:rsidR="00174F59">
        <w:t xml:space="preserve">(from 10.61%) </w:t>
      </w:r>
      <w:r w:rsidRPr="00AF334A">
        <w:t xml:space="preserve">of payroll.  </w:t>
      </w:r>
      <w:r w:rsidR="00174F59">
        <w:t>G</w:t>
      </w:r>
      <w:r>
        <w:t xml:space="preserve">oing concern </w:t>
      </w:r>
      <w:r w:rsidR="00174F59">
        <w:t xml:space="preserve">and solvency </w:t>
      </w:r>
      <w:r>
        <w:t xml:space="preserve">special payments </w:t>
      </w:r>
      <w:r w:rsidR="00174F59">
        <w:t>remain unchanged at $</w:t>
      </w:r>
      <w:r>
        <w:t>1.799 million</w:t>
      </w:r>
      <w:r w:rsidRPr="00AF334A">
        <w:t xml:space="preserve"> </w:t>
      </w:r>
      <w:r>
        <w:t>and $1.567 million</w:t>
      </w:r>
      <w:r w:rsidR="00174F59">
        <w:t>, respectively.</w:t>
      </w:r>
      <w:r>
        <w:t xml:space="preserve"> </w:t>
      </w:r>
    </w:p>
    <w:p w14:paraId="6DA973EA" w14:textId="43D81A39" w:rsidR="00AF334A" w:rsidRDefault="00AF334A" w:rsidP="0026486F">
      <w:r>
        <w:t xml:space="preserve">For the Supplementary Retirement Agreement, </w:t>
      </w:r>
      <w:r w:rsidR="00174F59">
        <w:t xml:space="preserve">estimated </w:t>
      </w:r>
      <w:r>
        <w:t xml:space="preserve">benefit payments of </w:t>
      </w:r>
      <w:r w:rsidR="000F2EDA">
        <w:t>$</w:t>
      </w:r>
      <w:r>
        <w:t>1.</w:t>
      </w:r>
      <w:r w:rsidR="00174F59">
        <w:t>7</w:t>
      </w:r>
      <w:r>
        <w:t xml:space="preserve"> million will be required from </w:t>
      </w:r>
      <w:r w:rsidR="00DC28C6">
        <w:t xml:space="preserve">Trent </w:t>
      </w:r>
      <w:r w:rsidR="00174F59">
        <w:t xml:space="preserve">as </w:t>
      </w:r>
      <w:r>
        <w:t xml:space="preserve">the </w:t>
      </w:r>
      <w:r w:rsidR="003219CB">
        <w:t xml:space="preserve">plan </w:t>
      </w:r>
      <w:r>
        <w:t xml:space="preserve">assets </w:t>
      </w:r>
      <w:r w:rsidR="00174F59">
        <w:t>were</w:t>
      </w:r>
      <w:r>
        <w:t xml:space="preserve"> depleted</w:t>
      </w:r>
      <w:r w:rsidR="00174F59">
        <w:t xml:space="preserve"> in November 2018.</w:t>
      </w:r>
    </w:p>
    <w:p w14:paraId="5472DE6A" w14:textId="77777777" w:rsidR="00D557CC" w:rsidRDefault="00D557CC" w:rsidP="0026486F"/>
    <w:p w14:paraId="75B9CB50" w14:textId="77777777" w:rsidR="00D557CC" w:rsidRDefault="00D557CC" w:rsidP="0026486F">
      <w:pPr>
        <w:pStyle w:val="Heading2"/>
        <w:rPr>
          <w:b/>
          <w:bCs/>
        </w:rPr>
      </w:pPr>
    </w:p>
    <w:p w14:paraId="35E020D1" w14:textId="77777777" w:rsidR="00D557CC" w:rsidRDefault="00D557CC" w:rsidP="0026486F">
      <w:pPr>
        <w:pStyle w:val="Heading2"/>
        <w:rPr>
          <w:b/>
          <w:bCs/>
        </w:rPr>
      </w:pPr>
    </w:p>
    <w:p w14:paraId="11E98A57" w14:textId="73B9B19F" w:rsidR="00AF334A" w:rsidRDefault="00AF334A" w:rsidP="0026486F">
      <w:pPr>
        <w:pStyle w:val="Heading2"/>
        <w:rPr>
          <w:b/>
          <w:bCs/>
          <w:color w:val="5B9BD5" w:themeColor="accent1"/>
        </w:rPr>
      </w:pPr>
      <w:r w:rsidRPr="00715AE0">
        <w:rPr>
          <w:b/>
          <w:bCs/>
        </w:rPr>
        <w:t>Other Non-Salary Expenses</w:t>
      </w:r>
    </w:p>
    <w:p w14:paraId="7EBF690D" w14:textId="77777777" w:rsidR="0026486F" w:rsidRPr="0026486F" w:rsidRDefault="0026486F" w:rsidP="0026486F"/>
    <w:p w14:paraId="19932F5D" w14:textId="02857500" w:rsidR="00D56A76" w:rsidRDefault="00D56A76" w:rsidP="001042DF">
      <w:r w:rsidRPr="00DB798F">
        <w:t>The 201</w:t>
      </w:r>
      <w:r w:rsidR="00174F59">
        <w:t>9</w:t>
      </w:r>
      <w:r w:rsidRPr="00DB798F">
        <w:t>/20</w:t>
      </w:r>
      <w:r w:rsidR="00174F59">
        <w:t>20</w:t>
      </w:r>
      <w:r w:rsidRPr="00DB798F">
        <w:t xml:space="preserve"> </w:t>
      </w:r>
      <w:r>
        <w:t>Operating B</w:t>
      </w:r>
      <w:r w:rsidRPr="00DB798F">
        <w:t xml:space="preserve">udget projects utilities expense will </w:t>
      </w:r>
      <w:r>
        <w:t xml:space="preserve">remain within </w:t>
      </w:r>
      <w:r w:rsidR="009B632B">
        <w:t xml:space="preserve">existing </w:t>
      </w:r>
      <w:r>
        <w:t xml:space="preserve">budgeted levels.  Current estimates from the University’s provider indicate electricity rates are expected to </w:t>
      </w:r>
      <w:r w:rsidR="00174F59">
        <w:t>d</w:t>
      </w:r>
      <w:r w:rsidR="009B632B">
        <w:t>ecrease; any savings will be offset by increases in consumption as both the Student Centre and the Bata Library will be in operation for a full twelve months in 2019/2020.</w:t>
      </w:r>
      <w:r>
        <w:t xml:space="preserve">  </w:t>
      </w:r>
      <w:r w:rsidR="009B632B">
        <w:t xml:space="preserve">At the time of planning, the federal carbon levy and legislation regulating the price of carbon effective April 2019 was likely to increase natural gas costs, but Trent anticipates funding will be available to mitigate this impact.  </w:t>
      </w:r>
      <w:r>
        <w:t xml:space="preserve">As work </w:t>
      </w:r>
      <w:proofErr w:type="gramStart"/>
      <w:r w:rsidR="001042DF">
        <w:t>continues</w:t>
      </w:r>
      <w:r>
        <w:t xml:space="preserve"> </w:t>
      </w:r>
      <w:r w:rsidR="001042DF">
        <w:t>on</w:t>
      </w:r>
      <w:proofErr w:type="gramEnd"/>
      <w:r w:rsidR="001042DF">
        <w:t xml:space="preserve"> </w:t>
      </w:r>
      <w:r>
        <w:t xml:space="preserve">initiatives under the Energy Performance Contract (scheduled for completion in </w:t>
      </w:r>
      <w:r w:rsidR="009B632B">
        <w:t>Spring 2019</w:t>
      </w:r>
      <w:r>
        <w:t>), energy consumption is expected to decrease.  Savings related the agreement will be used towards financing the project over the next 10 years</w:t>
      </w:r>
      <w:r w:rsidR="009B632B">
        <w:t xml:space="preserve"> and will not lead to operating savings in 2019/2020</w:t>
      </w:r>
      <w:r>
        <w:t>.</w:t>
      </w:r>
    </w:p>
    <w:p w14:paraId="112E6910" w14:textId="08E37847" w:rsidR="007631A8" w:rsidRPr="00DB798F" w:rsidRDefault="007631A8" w:rsidP="001042DF">
      <w:r>
        <w:t xml:space="preserve">In February 2017, Trent University refinanced its existing amortizing loans with non-amortizing debentures in order to provide the University with access to additional capital, to improve the overall flexibility in the operating budget, and to reduce the effective cost of capital.  The Board of Governors established an </w:t>
      </w:r>
      <w:r w:rsidR="001042DF">
        <w:t>internally administered</w:t>
      </w:r>
      <w:r>
        <w:t xml:space="preserve"> sinking fund with annual contributions to ensure sufficient funds are available from which to repay </w:t>
      </w:r>
      <w:r w:rsidR="000F2EDA">
        <w:t>1</w:t>
      </w:r>
      <w:r>
        <w:t>00% of the principal of the debentures at maturity, February 17, 2057.  The Operating Plan assumes that the total interest payments and contributions to the sinking fund are the same as the interest and principal payments before the debt refinancing was completed.  The only net impact on operating is the new debt interest payments related to the Library Transformation Project</w:t>
      </w:r>
      <w:r w:rsidR="003219CB">
        <w:t xml:space="preserve"> commencing in 2019/2020</w:t>
      </w:r>
      <w:r>
        <w:t>.</w:t>
      </w:r>
    </w:p>
    <w:p w14:paraId="15CC79A7" w14:textId="299340E9" w:rsidR="00D56A76" w:rsidRDefault="00D56A76" w:rsidP="001042DF">
      <w:pPr>
        <w:rPr>
          <w:b/>
          <w:color w:val="154734"/>
          <w:sz w:val="48"/>
          <w:szCs w:val="48"/>
        </w:rPr>
      </w:pPr>
      <w:r>
        <w:t xml:space="preserve">The budget assumes an annual inflation rate of 2% on relevant non-salary expenses.  Other base budget adjustments were made to reflect current experience or known changes.          </w:t>
      </w:r>
      <w:r>
        <w:rPr>
          <w:b/>
          <w:color w:val="154734"/>
          <w:sz w:val="48"/>
          <w:szCs w:val="48"/>
        </w:rPr>
        <w:br w:type="page"/>
      </w:r>
    </w:p>
    <w:p w14:paraId="5CC53C5F" w14:textId="7E4FF269" w:rsidR="006D54F8" w:rsidRDefault="003219CB" w:rsidP="0026486F">
      <w:pPr>
        <w:pStyle w:val="Heading1"/>
        <w:rPr>
          <w:b/>
          <w:bCs/>
          <w:color w:val="385623" w:themeColor="accent6" w:themeShade="80"/>
        </w:rPr>
      </w:pPr>
      <w:r w:rsidRPr="0026486F">
        <w:rPr>
          <w:b/>
          <w:bCs/>
          <w:color w:val="385623" w:themeColor="accent6" w:themeShade="80"/>
        </w:rPr>
        <w:lastRenderedPageBreak/>
        <w:t>BUDGET STRATEGIES</w:t>
      </w:r>
      <w:r w:rsidR="00C45A21" w:rsidRPr="0026486F">
        <w:rPr>
          <w:b/>
          <w:bCs/>
          <w:color w:val="385623" w:themeColor="accent6" w:themeShade="80"/>
        </w:rPr>
        <w:t xml:space="preserve"> FOR 201</w:t>
      </w:r>
      <w:r w:rsidRPr="0026486F">
        <w:rPr>
          <w:b/>
          <w:bCs/>
          <w:color w:val="385623" w:themeColor="accent6" w:themeShade="80"/>
        </w:rPr>
        <w:t>9</w:t>
      </w:r>
      <w:r w:rsidR="00C45A21" w:rsidRPr="0026486F">
        <w:rPr>
          <w:b/>
          <w:bCs/>
          <w:color w:val="385623" w:themeColor="accent6" w:themeShade="80"/>
        </w:rPr>
        <w:t>/20</w:t>
      </w:r>
      <w:r w:rsidRPr="0026486F">
        <w:rPr>
          <w:b/>
          <w:bCs/>
          <w:color w:val="385623" w:themeColor="accent6" w:themeShade="80"/>
        </w:rPr>
        <w:t>20</w:t>
      </w:r>
    </w:p>
    <w:p w14:paraId="5C13B4A8" w14:textId="77777777" w:rsidR="0026486F" w:rsidRPr="0026486F" w:rsidRDefault="0026486F" w:rsidP="0026486F"/>
    <w:p w14:paraId="7B1A4F17" w14:textId="7257B5BC" w:rsidR="003219CB" w:rsidRDefault="001D16E3" w:rsidP="001042DF">
      <w:r>
        <w:t xml:space="preserve">The preliminary </w:t>
      </w:r>
      <w:r w:rsidR="003219CB">
        <w:t>2019/2020</w:t>
      </w:r>
      <w:r>
        <w:t xml:space="preserve"> O</w:t>
      </w:r>
      <w:r w:rsidR="006D54F8" w:rsidRPr="00C36B47">
        <w:t xml:space="preserve">perating </w:t>
      </w:r>
      <w:r>
        <w:t>B</w:t>
      </w:r>
      <w:r w:rsidR="006D54F8" w:rsidRPr="00C36B47">
        <w:t xml:space="preserve">udget before </w:t>
      </w:r>
      <w:r w:rsidR="003219CB">
        <w:t>budget reduction strategies or strategic</w:t>
      </w:r>
      <w:r w:rsidR="006D54F8" w:rsidRPr="00C36B47">
        <w:t xml:space="preserve"> investments projected a </w:t>
      </w:r>
      <w:r w:rsidR="003219CB">
        <w:t xml:space="preserve">shortfall </w:t>
      </w:r>
      <w:r w:rsidR="006D54F8" w:rsidRPr="00C36B47">
        <w:t xml:space="preserve">of </w:t>
      </w:r>
      <w:r w:rsidR="006B324D">
        <w:t>$</w:t>
      </w:r>
      <w:r w:rsidR="003219CB">
        <w:t>4.3</w:t>
      </w:r>
      <w:r w:rsidR="006D54F8" w:rsidRPr="00C36B47">
        <w:t xml:space="preserve"> million</w:t>
      </w:r>
      <w:r w:rsidR="003219CB">
        <w:t xml:space="preserve">.  The anticipated shortfall despite estimated enrolment growth funding was primarily due to the loss of tuition fees revenue related to the Ministry-mandated tuition fee reduction. </w:t>
      </w:r>
    </w:p>
    <w:p w14:paraId="29E3D5E6" w14:textId="77777777" w:rsidR="00D557CC" w:rsidRDefault="00D557CC" w:rsidP="001042DF"/>
    <w:p w14:paraId="1D31B483" w14:textId="7B067D73" w:rsidR="002B1B26" w:rsidRPr="0026486F" w:rsidRDefault="002B1B26" w:rsidP="0026486F">
      <w:pPr>
        <w:pStyle w:val="Heading2"/>
        <w:rPr>
          <w:b/>
          <w:bCs/>
          <w:color w:val="5B9BD5" w:themeColor="accent1"/>
        </w:rPr>
      </w:pPr>
      <w:r w:rsidRPr="00715AE0">
        <w:rPr>
          <w:b/>
          <w:bCs/>
        </w:rPr>
        <w:t>Budget Reduction Strategies</w:t>
      </w:r>
    </w:p>
    <w:p w14:paraId="43079E9C" w14:textId="77777777" w:rsidR="0026486F" w:rsidRPr="0026486F" w:rsidRDefault="0026486F" w:rsidP="0026486F"/>
    <w:p w14:paraId="125E5158" w14:textId="1FEDAD2F" w:rsidR="003219CB" w:rsidRDefault="003219CB" w:rsidP="001042DF">
      <w:r>
        <w:t>To mitigate the projected shortfall, budget developers were requested to reduce their departmental operating budgets by 5% by</w:t>
      </w:r>
      <w:r w:rsidR="002B1B26">
        <w:t xml:space="preserve"> </w:t>
      </w:r>
      <w:r>
        <w:t xml:space="preserve">increasing revenue or cost </w:t>
      </w:r>
      <w:r w:rsidR="001042DF">
        <w:t>recoveries or</w:t>
      </w:r>
      <w:r>
        <w:t xml:space="preserve"> finding cost reductions and efficiencies.  Ancillary services were also asked to contribute 5% more to the Operating Budget</w:t>
      </w:r>
      <w:r w:rsidR="002B1B26">
        <w:t>.</w:t>
      </w:r>
    </w:p>
    <w:p w14:paraId="690D9143" w14:textId="497C61A9" w:rsidR="005E11B3" w:rsidRDefault="002B1B26" w:rsidP="001042DF">
      <w:r>
        <w:t xml:space="preserve">Budget owners proposed budget reduction strategies to meet the 5% target, </w:t>
      </w:r>
      <w:r w:rsidR="005E11B3">
        <w:t xml:space="preserve">while minimizing the potential </w:t>
      </w:r>
      <w:r w:rsidR="000B56D9">
        <w:t xml:space="preserve">impact to students </w:t>
      </w:r>
      <w:r w:rsidR="005E11B3">
        <w:t xml:space="preserve">and not compromising </w:t>
      </w:r>
      <w:r w:rsidR="000B56D9">
        <w:t>the qua</w:t>
      </w:r>
      <w:r w:rsidR="005E11B3">
        <w:t xml:space="preserve">lity of programs and services.  Academic areas reviewed </w:t>
      </w:r>
      <w:r w:rsidR="00F06C86">
        <w:t xml:space="preserve">limited-term appointments and </w:t>
      </w:r>
      <w:r w:rsidR="005E11B3">
        <w:t xml:space="preserve">course offerings, </w:t>
      </w:r>
      <w:proofErr w:type="gramStart"/>
      <w:r w:rsidR="005E11B3">
        <w:t>in particular those</w:t>
      </w:r>
      <w:proofErr w:type="gramEnd"/>
      <w:r w:rsidR="005E11B3">
        <w:t xml:space="preserve"> offered in the summer, and </w:t>
      </w:r>
      <w:r w:rsidR="00F06C86">
        <w:t>proposed</w:t>
      </w:r>
      <w:r w:rsidR="005E11B3">
        <w:t xml:space="preserve"> changes based on expected enrolment to </w:t>
      </w:r>
      <w:r w:rsidR="00F06C86">
        <w:t xml:space="preserve">better utilize faculty and teaching positions.  Current vacancies in non-faculty positions were reviewed and reduced or eliminated, where appropriate.  Non-academic departments reviewed staffing complements and proposed minor restructuring to gain efficiencies.  All known retirements or staff turnovers were carefully </w:t>
      </w:r>
      <w:r w:rsidR="001042DF">
        <w:t>considered,</w:t>
      </w:r>
      <w:r w:rsidR="000B51E1">
        <w:t xml:space="preserve"> and the budget reduced as a result of anticipated re-banding or hiring at lower rates.  All departments reviewed their non-staffing budgets to find efficiencies or to increase their revenue and/or cost recoveries, especially related to anticipated student enrolment increases.</w:t>
      </w:r>
    </w:p>
    <w:p w14:paraId="5AC820E9" w14:textId="293539DE" w:rsidR="003219CB" w:rsidRDefault="000B56D9" w:rsidP="001042DF">
      <w:r>
        <w:t xml:space="preserve">Some of the budget reduction strategies require the use of unspent departmental funds from 2018/2019 to compensate for changes </w:t>
      </w:r>
      <w:r w:rsidR="00F06C86">
        <w:t xml:space="preserve">that can only take </w:t>
      </w:r>
      <w:r>
        <w:t>effect mid-year in the 2019/2020 fiscal year.  In addition, a one-time strategic investment of $850,000 in instructional resources from 2018/2019 unspent funds was made</w:t>
      </w:r>
      <w:r w:rsidR="00F06C86">
        <w:t xml:space="preserve"> by the University</w:t>
      </w:r>
      <w:r>
        <w:t xml:space="preserve"> to </w:t>
      </w:r>
      <w:r w:rsidR="00F06C86">
        <w:t>partially</w:t>
      </w:r>
      <w:r>
        <w:t xml:space="preserve"> mitigate the impact of</w:t>
      </w:r>
      <w:r w:rsidR="00F06C86">
        <w:t xml:space="preserve"> budget reductions in 2019/2020.  This investment should help to alleviate additional pressures resulting from increased student enrolment.</w:t>
      </w:r>
    </w:p>
    <w:p w14:paraId="79F9D1FC" w14:textId="76D99BB1" w:rsidR="000B51E1" w:rsidRDefault="000B51E1" w:rsidP="001042DF">
      <w:r>
        <w:t>A summary of the accepted budget reduction strategies of $5.450 million is provided in the table below.</w:t>
      </w:r>
    </w:p>
    <w:p w14:paraId="24A986D0" w14:textId="5436A6B7" w:rsidR="000B51E1" w:rsidRDefault="000B51E1" w:rsidP="002B1B26">
      <w:pPr>
        <w:spacing w:after="240"/>
        <w:jc w:val="both"/>
        <w:rPr>
          <w:rFonts w:ascii="Arial" w:hAnsi="Arial" w:cs="Arial"/>
          <w:sz w:val="24"/>
          <w:szCs w:val="24"/>
        </w:rPr>
      </w:pPr>
    </w:p>
    <w:p w14:paraId="4FA6990A" w14:textId="4549F750" w:rsidR="0026486F" w:rsidRDefault="0026486F" w:rsidP="002B1B26">
      <w:pPr>
        <w:spacing w:after="240"/>
        <w:jc w:val="both"/>
        <w:rPr>
          <w:rFonts w:ascii="Arial" w:hAnsi="Arial" w:cs="Arial"/>
          <w:sz w:val="24"/>
          <w:szCs w:val="24"/>
        </w:rPr>
      </w:pPr>
    </w:p>
    <w:p w14:paraId="41A19A5E" w14:textId="77777777" w:rsidR="0026486F" w:rsidRDefault="0026486F" w:rsidP="002B1B26">
      <w:pPr>
        <w:spacing w:after="240"/>
        <w:jc w:val="both"/>
        <w:rPr>
          <w:rFonts w:ascii="Arial" w:hAnsi="Arial" w:cs="Arial"/>
          <w:sz w:val="24"/>
          <w:szCs w:val="24"/>
        </w:rPr>
      </w:pPr>
    </w:p>
    <w:tbl>
      <w:tblPr>
        <w:tblStyle w:val="TableGrid"/>
        <w:tblW w:w="10170" w:type="dxa"/>
        <w:tblInd w:w="-815" w:type="dxa"/>
        <w:tblLayout w:type="fixed"/>
        <w:tblLook w:val="04A0" w:firstRow="1" w:lastRow="0" w:firstColumn="1" w:lastColumn="0" w:noHBand="0" w:noVBand="1"/>
      </w:tblPr>
      <w:tblGrid>
        <w:gridCol w:w="8550"/>
        <w:gridCol w:w="1620"/>
      </w:tblGrid>
      <w:tr w:rsidR="000B56D9" w:rsidRPr="0026486F" w14:paraId="2A375EC1" w14:textId="77777777" w:rsidTr="001042DF">
        <w:tc>
          <w:tcPr>
            <w:tcW w:w="8550" w:type="dxa"/>
            <w:shd w:val="clear" w:color="auto" w:fill="5B7F95"/>
            <w:vAlign w:val="center"/>
          </w:tcPr>
          <w:p w14:paraId="5C657DF0" w14:textId="5AC09DFC" w:rsidR="000B56D9" w:rsidRPr="0026486F" w:rsidRDefault="000B56D9" w:rsidP="0026486F">
            <w:pPr>
              <w:jc w:val="center"/>
              <w:rPr>
                <w:b/>
                <w:bCs/>
              </w:rPr>
            </w:pPr>
            <w:r w:rsidRPr="0026486F">
              <w:rPr>
                <w:b/>
                <w:bCs/>
              </w:rPr>
              <w:lastRenderedPageBreak/>
              <w:t xml:space="preserve">2019/2020 Budget Reduction Strategy </w:t>
            </w:r>
            <w:r w:rsidRPr="0026486F">
              <w:rPr>
                <w:b/>
                <w:bCs/>
              </w:rPr>
              <w:br/>
              <w:t>(in thousands)</w:t>
            </w:r>
          </w:p>
        </w:tc>
        <w:tc>
          <w:tcPr>
            <w:tcW w:w="1620" w:type="dxa"/>
            <w:shd w:val="clear" w:color="auto" w:fill="5B7F95"/>
            <w:vAlign w:val="center"/>
          </w:tcPr>
          <w:p w14:paraId="0A16DD60" w14:textId="6795112B" w:rsidR="000B56D9" w:rsidRPr="0026486F" w:rsidRDefault="000B56D9" w:rsidP="0026486F">
            <w:pPr>
              <w:jc w:val="center"/>
              <w:rPr>
                <w:b/>
                <w:bCs/>
              </w:rPr>
            </w:pPr>
            <w:r w:rsidRPr="0026486F">
              <w:rPr>
                <w:b/>
                <w:bCs/>
              </w:rPr>
              <w:t>Total Reduction</w:t>
            </w:r>
          </w:p>
        </w:tc>
      </w:tr>
      <w:tr w:rsidR="000B56D9" w:rsidRPr="000B56D9" w14:paraId="7CB494A5" w14:textId="77777777" w:rsidTr="001042DF">
        <w:trPr>
          <w:trHeight w:val="20"/>
        </w:trPr>
        <w:tc>
          <w:tcPr>
            <w:tcW w:w="8550" w:type="dxa"/>
            <w:vAlign w:val="center"/>
            <w:hideMark/>
          </w:tcPr>
          <w:p w14:paraId="50A68D69" w14:textId="5F08035F" w:rsidR="000B56D9" w:rsidRPr="000B56D9" w:rsidRDefault="000B56D9" w:rsidP="001042DF">
            <w:pPr>
              <w:rPr>
                <w:lang w:val="en-US"/>
              </w:rPr>
            </w:pPr>
            <w:r w:rsidRPr="000B56D9">
              <w:rPr>
                <w:bCs/>
                <w:lang w:val="en-US"/>
              </w:rPr>
              <w:t>Reduce limited-term appointment faculty complement by not renewing some contracts ~ 13.5 FTEs</w:t>
            </w:r>
          </w:p>
        </w:tc>
        <w:tc>
          <w:tcPr>
            <w:tcW w:w="1620" w:type="dxa"/>
            <w:vAlign w:val="center"/>
            <w:hideMark/>
          </w:tcPr>
          <w:p w14:paraId="256A5E68" w14:textId="3CA59D10" w:rsidR="000B56D9" w:rsidRPr="000B56D9" w:rsidRDefault="000B56D9" w:rsidP="001042DF">
            <w:pPr>
              <w:rPr>
                <w:lang w:val="en-US"/>
              </w:rPr>
            </w:pPr>
            <w:r w:rsidRPr="000B56D9">
              <w:rPr>
                <w:bCs/>
                <w:lang w:val="en-US"/>
              </w:rPr>
              <w:t>$1,645</w:t>
            </w:r>
          </w:p>
        </w:tc>
      </w:tr>
      <w:tr w:rsidR="000B56D9" w:rsidRPr="000B56D9" w14:paraId="559827B2" w14:textId="77777777" w:rsidTr="001042DF">
        <w:trPr>
          <w:trHeight w:val="20"/>
        </w:trPr>
        <w:tc>
          <w:tcPr>
            <w:tcW w:w="8550" w:type="dxa"/>
            <w:vAlign w:val="center"/>
            <w:hideMark/>
          </w:tcPr>
          <w:p w14:paraId="36B7681E" w14:textId="1426999B" w:rsidR="000B56D9" w:rsidRPr="000B56D9" w:rsidRDefault="000B56D9" w:rsidP="001042DF">
            <w:pPr>
              <w:rPr>
                <w:lang w:val="en-US"/>
              </w:rPr>
            </w:pPr>
            <w:r>
              <w:rPr>
                <w:lang w:val="en-US"/>
              </w:rPr>
              <w:t>Reduce CUPE faculty course stipends related to both summer and fall/winter courses</w:t>
            </w:r>
          </w:p>
        </w:tc>
        <w:tc>
          <w:tcPr>
            <w:tcW w:w="1620" w:type="dxa"/>
            <w:vAlign w:val="center"/>
            <w:hideMark/>
          </w:tcPr>
          <w:p w14:paraId="1B70E89A" w14:textId="11937F5D" w:rsidR="000B56D9" w:rsidRPr="000B56D9" w:rsidRDefault="000B56D9" w:rsidP="001042DF">
            <w:pPr>
              <w:rPr>
                <w:lang w:val="en-US"/>
              </w:rPr>
            </w:pPr>
            <w:r w:rsidRPr="000B56D9">
              <w:rPr>
                <w:lang w:val="en-US"/>
              </w:rPr>
              <w:t>$</w:t>
            </w:r>
            <w:r>
              <w:rPr>
                <w:lang w:val="en-US"/>
              </w:rPr>
              <w:t>1,579</w:t>
            </w:r>
          </w:p>
        </w:tc>
      </w:tr>
      <w:tr w:rsidR="000B56D9" w:rsidRPr="000B56D9" w14:paraId="4F4A39AD" w14:textId="77777777" w:rsidTr="001042DF">
        <w:trPr>
          <w:trHeight w:val="20"/>
        </w:trPr>
        <w:tc>
          <w:tcPr>
            <w:tcW w:w="8550" w:type="dxa"/>
            <w:vAlign w:val="center"/>
            <w:hideMark/>
          </w:tcPr>
          <w:p w14:paraId="4937CA01" w14:textId="1DC84100" w:rsidR="000B56D9" w:rsidRPr="000B56D9" w:rsidRDefault="000B56D9" w:rsidP="001042DF">
            <w:pPr>
              <w:rPr>
                <w:lang w:val="en-US"/>
              </w:rPr>
            </w:pPr>
            <w:r>
              <w:rPr>
                <w:lang w:val="en-US"/>
              </w:rPr>
              <w:t xml:space="preserve">Eliminate or reduce vacant non-faculty positions ~ </w:t>
            </w:r>
            <w:r w:rsidR="00143468">
              <w:rPr>
                <w:lang w:val="en-US"/>
              </w:rPr>
              <w:t>7</w:t>
            </w:r>
            <w:r>
              <w:rPr>
                <w:lang w:val="en-US"/>
              </w:rPr>
              <w:t>.4 FTEs</w:t>
            </w:r>
          </w:p>
        </w:tc>
        <w:tc>
          <w:tcPr>
            <w:tcW w:w="1620" w:type="dxa"/>
            <w:vAlign w:val="center"/>
            <w:hideMark/>
          </w:tcPr>
          <w:p w14:paraId="56BDED6C" w14:textId="64E77B44" w:rsidR="000B56D9" w:rsidRPr="000B56D9" w:rsidRDefault="000B56D9" w:rsidP="001042DF">
            <w:pPr>
              <w:rPr>
                <w:lang w:val="en-US"/>
              </w:rPr>
            </w:pPr>
            <w:r w:rsidRPr="000B56D9">
              <w:rPr>
                <w:lang w:val="en-US"/>
              </w:rPr>
              <w:t xml:space="preserve">$ </w:t>
            </w:r>
            <w:r>
              <w:rPr>
                <w:lang w:val="en-US"/>
              </w:rPr>
              <w:t xml:space="preserve"> </w:t>
            </w:r>
            <w:r w:rsidRPr="000B56D9">
              <w:rPr>
                <w:lang w:val="en-US"/>
              </w:rPr>
              <w:t xml:space="preserve"> </w:t>
            </w:r>
            <w:r w:rsidR="00143468">
              <w:rPr>
                <w:lang w:val="en-US"/>
              </w:rPr>
              <w:t>717</w:t>
            </w:r>
          </w:p>
        </w:tc>
      </w:tr>
      <w:tr w:rsidR="000B56D9" w:rsidRPr="000B56D9" w14:paraId="47C1C820" w14:textId="77777777" w:rsidTr="001042DF">
        <w:trPr>
          <w:trHeight w:val="20"/>
        </w:trPr>
        <w:tc>
          <w:tcPr>
            <w:tcW w:w="8550" w:type="dxa"/>
            <w:vAlign w:val="center"/>
            <w:hideMark/>
          </w:tcPr>
          <w:p w14:paraId="6D937BD6" w14:textId="722278A8" w:rsidR="000B56D9" w:rsidRPr="000B56D9" w:rsidRDefault="000B56D9" w:rsidP="001042DF">
            <w:pPr>
              <w:rPr>
                <w:lang w:val="en-US"/>
              </w:rPr>
            </w:pPr>
            <w:r>
              <w:rPr>
                <w:lang w:val="en-US"/>
              </w:rPr>
              <w:t>Restructure staffing complements</w:t>
            </w:r>
          </w:p>
        </w:tc>
        <w:tc>
          <w:tcPr>
            <w:tcW w:w="1620" w:type="dxa"/>
            <w:vAlign w:val="center"/>
            <w:hideMark/>
          </w:tcPr>
          <w:p w14:paraId="6B58C671" w14:textId="15184B6B" w:rsidR="000B56D9" w:rsidRPr="000B56D9" w:rsidRDefault="000B56D9" w:rsidP="001042DF">
            <w:pPr>
              <w:rPr>
                <w:lang w:val="en-US"/>
              </w:rPr>
            </w:pPr>
            <w:r w:rsidRPr="000B56D9">
              <w:rPr>
                <w:lang w:val="en-US"/>
              </w:rPr>
              <w:t>$</w:t>
            </w:r>
            <w:r>
              <w:rPr>
                <w:lang w:val="en-US"/>
              </w:rPr>
              <w:t xml:space="preserve">     35</w:t>
            </w:r>
          </w:p>
        </w:tc>
      </w:tr>
      <w:tr w:rsidR="000B56D9" w:rsidRPr="000B56D9" w14:paraId="537AA9EF" w14:textId="77777777" w:rsidTr="001042DF">
        <w:trPr>
          <w:trHeight w:val="20"/>
        </w:trPr>
        <w:tc>
          <w:tcPr>
            <w:tcW w:w="8550" w:type="dxa"/>
            <w:vAlign w:val="center"/>
            <w:hideMark/>
          </w:tcPr>
          <w:p w14:paraId="70273CD4" w14:textId="3C73C35C" w:rsidR="000B56D9" w:rsidRPr="000B56D9" w:rsidRDefault="005E11B3" w:rsidP="001042DF">
            <w:pPr>
              <w:rPr>
                <w:lang w:val="en-US"/>
              </w:rPr>
            </w:pPr>
            <w:r>
              <w:rPr>
                <w:lang w:val="en-US"/>
              </w:rPr>
              <w:t>Reduce salary rates due to retirements or turnover in staff through re-banding or replacing at lower rates</w:t>
            </w:r>
          </w:p>
        </w:tc>
        <w:tc>
          <w:tcPr>
            <w:tcW w:w="1620" w:type="dxa"/>
            <w:vAlign w:val="center"/>
            <w:hideMark/>
          </w:tcPr>
          <w:p w14:paraId="4C5E29E9" w14:textId="049F25EA" w:rsidR="000B56D9" w:rsidRPr="000B56D9" w:rsidRDefault="000B56D9" w:rsidP="001042DF">
            <w:pPr>
              <w:rPr>
                <w:lang w:val="en-US"/>
              </w:rPr>
            </w:pPr>
            <w:r w:rsidRPr="000B56D9">
              <w:rPr>
                <w:lang w:val="en-US"/>
              </w:rPr>
              <w:t>$</w:t>
            </w:r>
            <w:r w:rsidR="005E11B3">
              <w:rPr>
                <w:lang w:val="en-US"/>
              </w:rPr>
              <w:t xml:space="preserve">     83</w:t>
            </w:r>
          </w:p>
        </w:tc>
      </w:tr>
      <w:tr w:rsidR="005E11B3" w:rsidRPr="000B56D9" w14:paraId="3B732D4C" w14:textId="77777777" w:rsidTr="001042DF">
        <w:trPr>
          <w:trHeight w:val="20"/>
        </w:trPr>
        <w:tc>
          <w:tcPr>
            <w:tcW w:w="8550" w:type="dxa"/>
            <w:vAlign w:val="center"/>
          </w:tcPr>
          <w:p w14:paraId="5E2AC181" w14:textId="76555E6F" w:rsidR="005E11B3" w:rsidRDefault="005E11B3" w:rsidP="001042DF">
            <w:pPr>
              <w:rPr>
                <w:lang w:val="en-US"/>
              </w:rPr>
            </w:pPr>
            <w:r>
              <w:rPr>
                <w:lang w:val="en-US"/>
              </w:rPr>
              <w:t>Reduce expenditures for supplies, contracted services and discretionary costs</w:t>
            </w:r>
          </w:p>
        </w:tc>
        <w:tc>
          <w:tcPr>
            <w:tcW w:w="1620" w:type="dxa"/>
            <w:vAlign w:val="center"/>
          </w:tcPr>
          <w:p w14:paraId="294E49D5" w14:textId="207E000A" w:rsidR="005E11B3" w:rsidRDefault="005E11B3" w:rsidP="001042DF">
            <w:pPr>
              <w:rPr>
                <w:lang w:val="en-US"/>
              </w:rPr>
            </w:pPr>
            <w:r>
              <w:rPr>
                <w:lang w:val="en-US"/>
              </w:rPr>
              <w:t>$   778</w:t>
            </w:r>
          </w:p>
        </w:tc>
      </w:tr>
      <w:tr w:rsidR="005E11B3" w:rsidRPr="000B56D9" w14:paraId="747D36AB" w14:textId="77777777" w:rsidTr="001042DF">
        <w:trPr>
          <w:trHeight w:val="20"/>
        </w:trPr>
        <w:tc>
          <w:tcPr>
            <w:tcW w:w="8550" w:type="dxa"/>
          </w:tcPr>
          <w:p w14:paraId="72FA4930" w14:textId="77777777" w:rsidR="005E11B3" w:rsidRDefault="005E11B3" w:rsidP="001042DF">
            <w:pPr>
              <w:rPr>
                <w:lang w:val="en-US"/>
              </w:rPr>
            </w:pPr>
            <w:r>
              <w:rPr>
                <w:lang w:val="en-US"/>
              </w:rPr>
              <w:t>Increase cost recoveries, primarily related to increased enrolment</w:t>
            </w:r>
          </w:p>
        </w:tc>
        <w:tc>
          <w:tcPr>
            <w:tcW w:w="1620" w:type="dxa"/>
          </w:tcPr>
          <w:p w14:paraId="06D6AB7B" w14:textId="77777777" w:rsidR="005E11B3" w:rsidRPr="000B56D9" w:rsidRDefault="005E11B3" w:rsidP="001042DF">
            <w:pPr>
              <w:rPr>
                <w:lang w:val="en-US"/>
              </w:rPr>
            </w:pPr>
            <w:r>
              <w:rPr>
                <w:lang w:val="en-US"/>
              </w:rPr>
              <w:t>$   405</w:t>
            </w:r>
          </w:p>
        </w:tc>
      </w:tr>
      <w:tr w:rsidR="005E11B3" w:rsidRPr="000B56D9" w14:paraId="1F1DF6FD" w14:textId="77777777" w:rsidTr="001042DF">
        <w:trPr>
          <w:trHeight w:val="20"/>
        </w:trPr>
        <w:tc>
          <w:tcPr>
            <w:tcW w:w="8550" w:type="dxa"/>
            <w:vAlign w:val="center"/>
          </w:tcPr>
          <w:p w14:paraId="10782824" w14:textId="17D07A02" w:rsidR="005E11B3" w:rsidRDefault="005E11B3" w:rsidP="001042DF">
            <w:pPr>
              <w:rPr>
                <w:lang w:val="en-US"/>
              </w:rPr>
            </w:pPr>
            <w:r>
              <w:rPr>
                <w:lang w:val="en-US"/>
              </w:rPr>
              <w:t>Increase ancillary services contribution to the operating budget</w:t>
            </w:r>
          </w:p>
        </w:tc>
        <w:tc>
          <w:tcPr>
            <w:tcW w:w="1620" w:type="dxa"/>
            <w:vAlign w:val="center"/>
          </w:tcPr>
          <w:p w14:paraId="6CA8B468" w14:textId="76EBBD5D" w:rsidR="005E11B3" w:rsidRDefault="005E11B3" w:rsidP="001042DF">
            <w:pPr>
              <w:rPr>
                <w:lang w:val="en-US"/>
              </w:rPr>
            </w:pPr>
            <w:r>
              <w:rPr>
                <w:lang w:val="en-US"/>
              </w:rPr>
              <w:t>$   295</w:t>
            </w:r>
          </w:p>
        </w:tc>
      </w:tr>
      <w:tr w:rsidR="005E11B3" w:rsidRPr="000B56D9" w14:paraId="1CC28959" w14:textId="77777777" w:rsidTr="001042DF">
        <w:trPr>
          <w:trHeight w:val="20"/>
        </w:trPr>
        <w:tc>
          <w:tcPr>
            <w:tcW w:w="8550" w:type="dxa"/>
            <w:vAlign w:val="center"/>
          </w:tcPr>
          <w:p w14:paraId="6D145B78" w14:textId="6687704F" w:rsidR="005E11B3" w:rsidRDefault="005E11B3" w:rsidP="001042DF">
            <w:pPr>
              <w:rPr>
                <w:lang w:val="en-US"/>
              </w:rPr>
            </w:pPr>
            <w:r>
              <w:rPr>
                <w:lang w:val="en-US"/>
              </w:rPr>
              <w:t>Net adjustments as a result of budget reduction strategies</w:t>
            </w:r>
          </w:p>
        </w:tc>
        <w:tc>
          <w:tcPr>
            <w:tcW w:w="1620" w:type="dxa"/>
            <w:vAlign w:val="center"/>
          </w:tcPr>
          <w:p w14:paraId="4105F631" w14:textId="16EA69BE" w:rsidR="005E11B3" w:rsidRDefault="005E11B3" w:rsidP="001042DF">
            <w:pPr>
              <w:rPr>
                <w:lang w:val="en-US"/>
              </w:rPr>
            </w:pPr>
            <w:r>
              <w:rPr>
                <w:lang w:val="en-US"/>
              </w:rPr>
              <w:t xml:space="preserve">$ </w:t>
            </w:r>
            <w:r w:rsidR="0026486F">
              <w:rPr>
                <w:lang w:val="en-US"/>
              </w:rPr>
              <w:t>(87</w:t>
            </w:r>
            <w:r w:rsidR="00143468">
              <w:rPr>
                <w:lang w:val="en-US"/>
              </w:rPr>
              <w:t>)</w:t>
            </w:r>
          </w:p>
        </w:tc>
      </w:tr>
      <w:tr w:rsidR="005E11B3" w:rsidRPr="005E11B3" w14:paraId="18D945A6" w14:textId="77777777" w:rsidTr="001042DF">
        <w:trPr>
          <w:trHeight w:val="20"/>
        </w:trPr>
        <w:tc>
          <w:tcPr>
            <w:tcW w:w="8550" w:type="dxa"/>
            <w:vAlign w:val="center"/>
          </w:tcPr>
          <w:p w14:paraId="4D670040" w14:textId="7FAF7873" w:rsidR="005E11B3" w:rsidRPr="0026486F" w:rsidRDefault="005E11B3" w:rsidP="001042DF">
            <w:pPr>
              <w:rPr>
                <w:b/>
                <w:bCs/>
                <w:lang w:val="en-US"/>
              </w:rPr>
            </w:pPr>
            <w:r w:rsidRPr="0026486F">
              <w:rPr>
                <w:b/>
                <w:bCs/>
                <w:lang w:val="en-US"/>
              </w:rPr>
              <w:t>Total Budget Reduction Strategies</w:t>
            </w:r>
          </w:p>
        </w:tc>
        <w:tc>
          <w:tcPr>
            <w:tcW w:w="1620" w:type="dxa"/>
            <w:vAlign w:val="center"/>
          </w:tcPr>
          <w:p w14:paraId="038177B0" w14:textId="38493CC8" w:rsidR="005E11B3" w:rsidRPr="0026486F" w:rsidRDefault="005E11B3" w:rsidP="001042DF">
            <w:pPr>
              <w:rPr>
                <w:b/>
                <w:bCs/>
                <w:lang w:val="en-US"/>
              </w:rPr>
            </w:pPr>
            <w:r w:rsidRPr="0026486F">
              <w:rPr>
                <w:b/>
                <w:bCs/>
                <w:lang w:val="en-US"/>
              </w:rPr>
              <w:t>$5,450</w:t>
            </w:r>
          </w:p>
        </w:tc>
      </w:tr>
    </w:tbl>
    <w:p w14:paraId="6E30FF55" w14:textId="1D7C2448" w:rsidR="00F327DA" w:rsidRDefault="00F327DA" w:rsidP="00F327DA">
      <w:pPr>
        <w:spacing w:after="120"/>
        <w:jc w:val="both"/>
        <w:rPr>
          <w:rFonts w:ascii="Arial" w:hAnsi="Arial" w:cs="Arial"/>
          <w:b/>
          <w:color w:val="5B7F95"/>
          <w:sz w:val="28"/>
          <w:szCs w:val="28"/>
        </w:rPr>
      </w:pPr>
    </w:p>
    <w:p w14:paraId="3E88A7BC" w14:textId="64D1A38F" w:rsidR="00143468" w:rsidRDefault="00143468" w:rsidP="001042DF">
      <w:r w:rsidRPr="00301CD1">
        <w:rPr>
          <w:noProof/>
          <w:lang w:val="en-US" w:eastAsia="en-US"/>
        </w:rPr>
        <w:drawing>
          <wp:inline distT="0" distB="0" distL="0" distR="0" wp14:anchorId="597C93EB" wp14:editId="7C552DB9">
            <wp:extent cx="6280150" cy="2616200"/>
            <wp:effectExtent l="0" t="0" r="6350" b="0"/>
            <wp:docPr id="9" name="Chart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D82BDE3" w14:textId="77777777" w:rsidR="0026486F" w:rsidRDefault="0026486F" w:rsidP="001042DF">
      <w:pPr>
        <w:pStyle w:val="Heading2"/>
      </w:pPr>
    </w:p>
    <w:p w14:paraId="2EC098F9" w14:textId="77777777" w:rsidR="0026486F" w:rsidRDefault="0026486F" w:rsidP="001042DF">
      <w:pPr>
        <w:pStyle w:val="Heading2"/>
      </w:pPr>
    </w:p>
    <w:p w14:paraId="6248F884" w14:textId="7D57DCDA" w:rsidR="000B56D9" w:rsidRPr="0026486F" w:rsidRDefault="000B56D9" w:rsidP="0026486F">
      <w:pPr>
        <w:pStyle w:val="Heading2"/>
        <w:rPr>
          <w:b/>
          <w:bCs/>
          <w:color w:val="5B9BD5" w:themeColor="accent1"/>
        </w:rPr>
      </w:pPr>
      <w:r w:rsidRPr="00715AE0">
        <w:rPr>
          <w:b/>
          <w:bCs/>
        </w:rPr>
        <w:t>Strategic Investments</w:t>
      </w:r>
    </w:p>
    <w:p w14:paraId="2134B030" w14:textId="77777777" w:rsidR="0026486F" w:rsidRPr="0026486F" w:rsidRDefault="0026486F" w:rsidP="0026486F"/>
    <w:p w14:paraId="47635BB3" w14:textId="76BC6CE4" w:rsidR="008C4EF7" w:rsidRPr="002B1B26" w:rsidRDefault="000B51E1" w:rsidP="001042DF">
      <w:r>
        <w:t>After factoring in the above budget reduction strategies</w:t>
      </w:r>
      <w:r w:rsidR="006D54F8" w:rsidRPr="002B1B26">
        <w:t xml:space="preserve">, </w:t>
      </w:r>
      <w:r>
        <w:t xml:space="preserve">the University is anticipating a small surplus (assuming enrolment growth funding is confirmed), </w:t>
      </w:r>
      <w:r w:rsidR="006D54F8" w:rsidRPr="002B1B26">
        <w:t xml:space="preserve">providing the University with an opportunity to </w:t>
      </w:r>
      <w:r w:rsidR="008C4EF7" w:rsidRPr="002B1B26">
        <w:t>make</w:t>
      </w:r>
      <w:r w:rsidR="00FB0812" w:rsidRPr="002B1B26">
        <w:t xml:space="preserve"> new strategic investments in response to increasing student enrolment.  All presentations and proposals were carefully reviewed by the President and Vice-Presidents taking into consideration several overall principles, including fit with the University’s strategic plans.  The Responsibility Centered Management model was also used as a guiding principle for decision making when prioritizing and recommending new strategic investments.  </w:t>
      </w:r>
    </w:p>
    <w:p w14:paraId="38888819" w14:textId="24D562AA" w:rsidR="00FB0812" w:rsidRPr="002B1B26" w:rsidRDefault="00FB0812" w:rsidP="001042DF">
      <w:r w:rsidRPr="002B1B26">
        <w:t>The new investments focus on increases in resources required to teach and support increased student enrolment and the development of new academic programs.</w:t>
      </w:r>
      <w:r w:rsidR="008C4EF7" w:rsidRPr="002B1B26">
        <w:t xml:space="preserve">  </w:t>
      </w:r>
      <w:r w:rsidR="00C64424">
        <w:t>Tuition r</w:t>
      </w:r>
      <w:r w:rsidR="00D93FAB" w:rsidRPr="002B1B26">
        <w:t xml:space="preserve">evenue </w:t>
      </w:r>
      <w:r w:rsidR="00C64424">
        <w:t xml:space="preserve">(net of increased student financial aid) </w:t>
      </w:r>
      <w:r w:rsidR="00D93FAB" w:rsidRPr="002B1B26">
        <w:t xml:space="preserve">from new </w:t>
      </w:r>
      <w:r w:rsidR="00C64424">
        <w:t xml:space="preserve">or expanding </w:t>
      </w:r>
      <w:r w:rsidR="00D93FAB" w:rsidRPr="002B1B26">
        <w:t>programs</w:t>
      </w:r>
      <w:r w:rsidR="00C64424">
        <w:t xml:space="preserve"> in Sciences, Education and Durham </w:t>
      </w:r>
      <w:r w:rsidR="00D93FAB" w:rsidRPr="002B1B26">
        <w:t>is conservatively assumed to be sufficient to offset associated new costs in the initial year of the program; it is expected that new programs will be revenue generating once established.</w:t>
      </w:r>
      <w:r w:rsidR="00764C77">
        <w:t xml:space="preserve">  Support for growing graduate studies </w:t>
      </w:r>
      <w:r w:rsidR="00F327DA">
        <w:t xml:space="preserve">and Durham </w:t>
      </w:r>
      <w:r w:rsidR="00764C77">
        <w:t>is primarily one-time in nature.  Library acquisitions continue to benchmark low relative to the University’s comparators indicating a need for a further base investment in that area.  An on-going investment to enhance student supports will help respond to the increasing needs of the students to achieve academic success.  Information technology continues to evolve with this year’s investments in enhanced security</w:t>
      </w:r>
      <w:r w:rsidR="00AB7D3A">
        <w:t xml:space="preserve"> of information</w:t>
      </w:r>
      <w:r w:rsidR="003931A4">
        <w:t xml:space="preserve"> and </w:t>
      </w:r>
      <w:r w:rsidR="00C64424">
        <w:t xml:space="preserve">an </w:t>
      </w:r>
      <w:r w:rsidR="003931A4">
        <w:t>event management system</w:t>
      </w:r>
      <w:r w:rsidR="00AB7D3A">
        <w:t>, mobile applications for improved student access</w:t>
      </w:r>
      <w:r w:rsidR="00BE0019">
        <w:t>,</w:t>
      </w:r>
      <w:r w:rsidR="00AB7D3A">
        <w:t xml:space="preserve"> and </w:t>
      </w:r>
      <w:r w:rsidR="00C64424">
        <w:t xml:space="preserve">a </w:t>
      </w:r>
      <w:r w:rsidR="00AB7D3A">
        <w:t xml:space="preserve">document </w:t>
      </w:r>
      <w:r w:rsidR="003931A4">
        <w:t xml:space="preserve">imaging and workflow </w:t>
      </w:r>
      <w:r w:rsidR="00AB7D3A">
        <w:t>management system.  The remaining investments will help address deferred maintenance and risk management.</w:t>
      </w:r>
    </w:p>
    <w:p w14:paraId="1B49CA80" w14:textId="1848CB62" w:rsidR="00BE0019" w:rsidRPr="00F327DA" w:rsidRDefault="00BE0019" w:rsidP="001042DF">
      <w:r w:rsidRPr="00F327DA">
        <w:t>A summary of the accepted net new strategic investments of $735,000 is provided in the table below.</w:t>
      </w:r>
      <w:r w:rsidR="00C64424">
        <w:t xml:space="preserve">  Over </w:t>
      </w:r>
      <w:r w:rsidR="00C64424" w:rsidRPr="007A54D7">
        <w:t>6</w:t>
      </w:r>
      <w:r w:rsidR="007A54D7" w:rsidRPr="007A54D7">
        <w:t>8</w:t>
      </w:r>
      <w:r w:rsidR="00C64424" w:rsidRPr="007A54D7">
        <w:t>%</w:t>
      </w:r>
      <w:r w:rsidR="00C64424">
        <w:t xml:space="preserve"> of the </w:t>
      </w:r>
      <w:r w:rsidR="007A54D7">
        <w:t xml:space="preserve">new </w:t>
      </w:r>
      <w:r w:rsidR="00C64424">
        <w:t xml:space="preserve">investments (before offsetting net tuition revenue) are </w:t>
      </w:r>
      <w:r w:rsidR="007A54D7">
        <w:t>resources</w:t>
      </w:r>
      <w:r w:rsidR="00C64424">
        <w:t xml:space="preserve"> </w:t>
      </w:r>
      <w:r w:rsidR="007A54D7">
        <w:t xml:space="preserve">directly </w:t>
      </w:r>
      <w:r w:rsidR="00524B51">
        <w:t xml:space="preserve">for </w:t>
      </w:r>
      <w:r w:rsidR="00C64424">
        <w:t>academic</w:t>
      </w:r>
      <w:r w:rsidR="00524B51">
        <w:t xml:space="preserve"> or </w:t>
      </w:r>
      <w:r w:rsidR="007A54D7">
        <w:t xml:space="preserve">for </w:t>
      </w:r>
      <w:r w:rsidR="00524B51">
        <w:t>academic support.</w:t>
      </w:r>
    </w:p>
    <w:p w14:paraId="11CCEB9C" w14:textId="0A2FD2C2" w:rsidR="00186528" w:rsidRDefault="007A54D7" w:rsidP="001042DF">
      <w:pPr>
        <w:rPr>
          <w:rFonts w:ascii="Arial" w:hAnsi="Arial" w:cs="Arial"/>
          <w:sz w:val="24"/>
          <w:szCs w:val="24"/>
        </w:rPr>
      </w:pPr>
      <w:r>
        <w:rPr>
          <w:rFonts w:ascii="Arial" w:hAnsi="Arial" w:cs="Arial"/>
          <w:sz w:val="24"/>
          <w:szCs w:val="24"/>
        </w:rPr>
        <w:tab/>
      </w:r>
    </w:p>
    <w:p w14:paraId="67B51F9C" w14:textId="2A8A9A49" w:rsidR="0026486F" w:rsidRDefault="0026486F" w:rsidP="001042DF">
      <w:pPr>
        <w:rPr>
          <w:rFonts w:ascii="Arial" w:hAnsi="Arial" w:cs="Arial"/>
          <w:sz w:val="24"/>
          <w:szCs w:val="24"/>
        </w:rPr>
      </w:pPr>
    </w:p>
    <w:p w14:paraId="224DAA9A" w14:textId="1896A5BF" w:rsidR="0026486F" w:rsidRDefault="0026486F" w:rsidP="001042DF">
      <w:pPr>
        <w:rPr>
          <w:rFonts w:ascii="Arial" w:hAnsi="Arial" w:cs="Arial"/>
          <w:sz w:val="24"/>
          <w:szCs w:val="24"/>
        </w:rPr>
      </w:pPr>
    </w:p>
    <w:p w14:paraId="66615505" w14:textId="3F078957" w:rsidR="0026486F" w:rsidRDefault="0026486F" w:rsidP="001042DF">
      <w:pPr>
        <w:rPr>
          <w:rFonts w:ascii="Arial" w:hAnsi="Arial" w:cs="Arial"/>
          <w:sz w:val="24"/>
          <w:szCs w:val="24"/>
        </w:rPr>
      </w:pPr>
    </w:p>
    <w:p w14:paraId="1F2CB75C" w14:textId="1182F55A" w:rsidR="0026486F" w:rsidRDefault="0026486F" w:rsidP="001042DF">
      <w:pPr>
        <w:rPr>
          <w:rFonts w:ascii="Arial" w:hAnsi="Arial" w:cs="Arial"/>
          <w:sz w:val="24"/>
          <w:szCs w:val="24"/>
        </w:rPr>
      </w:pPr>
    </w:p>
    <w:p w14:paraId="680B489F" w14:textId="77777777" w:rsidR="0026486F" w:rsidRDefault="0026486F" w:rsidP="001042DF">
      <w:pPr>
        <w:rPr>
          <w:rFonts w:ascii="Arial" w:hAnsi="Arial" w:cs="Arial"/>
          <w:sz w:val="24"/>
          <w:szCs w:val="24"/>
        </w:rPr>
      </w:pPr>
    </w:p>
    <w:tbl>
      <w:tblPr>
        <w:tblStyle w:val="TableGrid"/>
        <w:tblW w:w="0" w:type="auto"/>
        <w:tblLayout w:type="fixed"/>
        <w:tblLook w:val="04A0" w:firstRow="1" w:lastRow="0" w:firstColumn="1" w:lastColumn="0" w:noHBand="0" w:noVBand="1"/>
      </w:tblPr>
      <w:tblGrid>
        <w:gridCol w:w="4765"/>
        <w:gridCol w:w="1530"/>
        <w:gridCol w:w="1530"/>
        <w:gridCol w:w="1525"/>
      </w:tblGrid>
      <w:tr w:rsidR="008C0FE5" w:rsidRPr="00F327DA" w14:paraId="18D12570" w14:textId="77777777" w:rsidTr="00186528">
        <w:tc>
          <w:tcPr>
            <w:tcW w:w="4765" w:type="dxa"/>
            <w:shd w:val="clear" w:color="auto" w:fill="5B7F95"/>
            <w:vAlign w:val="center"/>
          </w:tcPr>
          <w:p w14:paraId="287108A3" w14:textId="53A11333" w:rsidR="008C4EF7" w:rsidRPr="0026486F" w:rsidRDefault="00F536A3" w:rsidP="0026486F">
            <w:pPr>
              <w:jc w:val="center"/>
              <w:rPr>
                <w:b/>
                <w:bCs/>
              </w:rPr>
            </w:pPr>
            <w:r w:rsidRPr="0026486F">
              <w:rPr>
                <w:b/>
                <w:bCs/>
              </w:rPr>
              <w:lastRenderedPageBreak/>
              <w:t xml:space="preserve">2019/2020 </w:t>
            </w:r>
            <w:r w:rsidR="008C4EF7" w:rsidRPr="0026486F">
              <w:rPr>
                <w:b/>
                <w:bCs/>
              </w:rPr>
              <w:t>Strategic Investment</w:t>
            </w:r>
            <w:r w:rsidRPr="0026486F">
              <w:rPr>
                <w:b/>
                <w:bCs/>
              </w:rPr>
              <w:t xml:space="preserve"> </w:t>
            </w:r>
            <w:r w:rsidRPr="0026486F">
              <w:rPr>
                <w:b/>
                <w:bCs/>
              </w:rPr>
              <w:br/>
              <w:t>(in thousands)</w:t>
            </w:r>
          </w:p>
        </w:tc>
        <w:tc>
          <w:tcPr>
            <w:tcW w:w="1530" w:type="dxa"/>
            <w:shd w:val="clear" w:color="auto" w:fill="5B7F95"/>
            <w:vAlign w:val="center"/>
          </w:tcPr>
          <w:p w14:paraId="1365289D" w14:textId="5B3E1471" w:rsidR="008C4EF7" w:rsidRPr="0026486F" w:rsidRDefault="008C4EF7" w:rsidP="0026486F">
            <w:pPr>
              <w:jc w:val="center"/>
              <w:rPr>
                <w:b/>
                <w:bCs/>
              </w:rPr>
            </w:pPr>
            <w:r w:rsidRPr="0026486F">
              <w:rPr>
                <w:b/>
                <w:bCs/>
              </w:rPr>
              <w:t>On-going Investment</w:t>
            </w:r>
          </w:p>
        </w:tc>
        <w:tc>
          <w:tcPr>
            <w:tcW w:w="1530" w:type="dxa"/>
            <w:shd w:val="clear" w:color="auto" w:fill="5B7F95"/>
            <w:vAlign w:val="center"/>
          </w:tcPr>
          <w:p w14:paraId="2AD3C8E2" w14:textId="57B58CC2" w:rsidR="008C4EF7" w:rsidRPr="0026486F" w:rsidRDefault="008C4EF7" w:rsidP="0026486F">
            <w:pPr>
              <w:jc w:val="center"/>
              <w:rPr>
                <w:b/>
                <w:bCs/>
              </w:rPr>
            </w:pPr>
            <w:r w:rsidRPr="0026486F">
              <w:rPr>
                <w:b/>
                <w:bCs/>
              </w:rPr>
              <w:t>One-time Investment</w:t>
            </w:r>
          </w:p>
        </w:tc>
        <w:tc>
          <w:tcPr>
            <w:tcW w:w="1525" w:type="dxa"/>
            <w:shd w:val="clear" w:color="auto" w:fill="5B7F95"/>
            <w:vAlign w:val="center"/>
          </w:tcPr>
          <w:p w14:paraId="19CE4246" w14:textId="5FF09EC2" w:rsidR="008C4EF7" w:rsidRPr="0026486F" w:rsidRDefault="008C4EF7" w:rsidP="0026486F">
            <w:pPr>
              <w:jc w:val="center"/>
              <w:rPr>
                <w:b/>
                <w:bCs/>
              </w:rPr>
            </w:pPr>
            <w:r w:rsidRPr="0026486F">
              <w:rPr>
                <w:b/>
                <w:bCs/>
              </w:rPr>
              <w:t>Total Investment</w:t>
            </w:r>
          </w:p>
        </w:tc>
      </w:tr>
      <w:tr w:rsidR="008C0FE5" w:rsidRPr="00F327DA" w14:paraId="065C2917" w14:textId="77777777" w:rsidTr="00186528">
        <w:trPr>
          <w:trHeight w:val="20"/>
        </w:trPr>
        <w:tc>
          <w:tcPr>
            <w:tcW w:w="4765" w:type="dxa"/>
            <w:vAlign w:val="center"/>
            <w:hideMark/>
          </w:tcPr>
          <w:p w14:paraId="65E9E647" w14:textId="1A04E021" w:rsidR="00F536A3" w:rsidRPr="003931A4" w:rsidRDefault="00F536A3" w:rsidP="001042DF">
            <w:pPr>
              <w:rPr>
                <w:bCs/>
                <w:lang w:val="en-US"/>
              </w:rPr>
            </w:pPr>
            <w:r w:rsidRPr="00F327DA">
              <w:rPr>
                <w:bCs/>
                <w:lang w:val="en-US"/>
              </w:rPr>
              <w:t xml:space="preserve">Support for new or expanding programs </w:t>
            </w:r>
            <w:r w:rsidR="003931A4">
              <w:rPr>
                <w:bCs/>
                <w:lang w:val="en-US"/>
              </w:rPr>
              <w:t xml:space="preserve">Offset </w:t>
            </w:r>
            <w:r w:rsidRPr="00F327DA">
              <w:rPr>
                <w:bCs/>
                <w:lang w:val="en-US"/>
              </w:rPr>
              <w:t xml:space="preserve">by related </w:t>
            </w:r>
            <w:r w:rsidR="003931A4">
              <w:rPr>
                <w:bCs/>
                <w:lang w:val="en-US"/>
              </w:rPr>
              <w:t xml:space="preserve">net </w:t>
            </w:r>
            <w:r w:rsidRPr="00F327DA">
              <w:rPr>
                <w:bCs/>
                <w:lang w:val="en-US"/>
              </w:rPr>
              <w:t>tuition revenue</w:t>
            </w:r>
          </w:p>
        </w:tc>
        <w:tc>
          <w:tcPr>
            <w:tcW w:w="1530" w:type="dxa"/>
            <w:vAlign w:val="center"/>
            <w:hideMark/>
          </w:tcPr>
          <w:p w14:paraId="5C76C2EC" w14:textId="77777777" w:rsidR="008C4EF7" w:rsidRPr="00F327DA" w:rsidRDefault="00F536A3" w:rsidP="001042DF">
            <w:pPr>
              <w:rPr>
                <w:bCs/>
                <w:lang w:val="en-US"/>
              </w:rPr>
            </w:pPr>
            <w:r w:rsidRPr="00F327DA">
              <w:rPr>
                <w:bCs/>
                <w:lang w:val="en-US"/>
              </w:rPr>
              <w:t>$962</w:t>
            </w:r>
          </w:p>
          <w:p w14:paraId="3D642F60" w14:textId="57DC6223" w:rsidR="00F536A3" w:rsidRPr="00F327DA" w:rsidRDefault="00F536A3" w:rsidP="001042DF">
            <w:pPr>
              <w:rPr>
                <w:lang w:val="en-US"/>
              </w:rPr>
            </w:pPr>
            <w:r w:rsidRPr="00F327DA">
              <w:rPr>
                <w:bCs/>
                <w:lang w:val="en-US"/>
              </w:rPr>
              <w:t>($962)</w:t>
            </w:r>
          </w:p>
        </w:tc>
        <w:tc>
          <w:tcPr>
            <w:tcW w:w="1530" w:type="dxa"/>
            <w:vAlign w:val="center"/>
            <w:hideMark/>
          </w:tcPr>
          <w:p w14:paraId="477A582E" w14:textId="77777777" w:rsidR="008C4EF7" w:rsidRPr="00F327DA" w:rsidRDefault="008C4EF7" w:rsidP="001042DF">
            <w:pPr>
              <w:rPr>
                <w:lang w:val="en-US"/>
              </w:rPr>
            </w:pPr>
          </w:p>
        </w:tc>
        <w:tc>
          <w:tcPr>
            <w:tcW w:w="1525" w:type="dxa"/>
            <w:vAlign w:val="center"/>
            <w:hideMark/>
          </w:tcPr>
          <w:p w14:paraId="0ED3BA09" w14:textId="77777777" w:rsidR="008C4EF7" w:rsidRPr="00F327DA" w:rsidRDefault="00F536A3" w:rsidP="001042DF">
            <w:pPr>
              <w:rPr>
                <w:bCs/>
                <w:lang w:val="en-US"/>
              </w:rPr>
            </w:pPr>
            <w:r w:rsidRPr="00F327DA">
              <w:rPr>
                <w:bCs/>
                <w:lang w:val="en-US"/>
              </w:rPr>
              <w:t>$962</w:t>
            </w:r>
          </w:p>
          <w:p w14:paraId="7B54FC33" w14:textId="6E33E891" w:rsidR="00F536A3" w:rsidRPr="00F327DA" w:rsidRDefault="00F536A3" w:rsidP="001042DF">
            <w:pPr>
              <w:rPr>
                <w:lang w:val="en-US"/>
              </w:rPr>
            </w:pPr>
            <w:r w:rsidRPr="00F327DA">
              <w:rPr>
                <w:bCs/>
                <w:lang w:val="en-US"/>
              </w:rPr>
              <w:t>($962)</w:t>
            </w:r>
          </w:p>
        </w:tc>
      </w:tr>
      <w:tr w:rsidR="008C0FE5" w:rsidRPr="00F327DA" w14:paraId="3C7D74E9" w14:textId="77777777" w:rsidTr="00186528">
        <w:trPr>
          <w:trHeight w:val="20"/>
        </w:trPr>
        <w:tc>
          <w:tcPr>
            <w:tcW w:w="4765" w:type="dxa"/>
            <w:vAlign w:val="center"/>
            <w:hideMark/>
          </w:tcPr>
          <w:p w14:paraId="18A114E0" w14:textId="38E385ED" w:rsidR="008C4EF7" w:rsidRPr="00F327DA" w:rsidRDefault="00F536A3" w:rsidP="001042DF">
            <w:pPr>
              <w:rPr>
                <w:lang w:val="en-US"/>
              </w:rPr>
            </w:pPr>
            <w:r w:rsidRPr="00F327DA">
              <w:rPr>
                <w:lang w:val="en-US"/>
              </w:rPr>
              <w:t>Support for enhanced marketing for Graduate Studies and Durham-GTA</w:t>
            </w:r>
          </w:p>
        </w:tc>
        <w:tc>
          <w:tcPr>
            <w:tcW w:w="1530" w:type="dxa"/>
            <w:vAlign w:val="center"/>
            <w:hideMark/>
          </w:tcPr>
          <w:p w14:paraId="76AA8DB8" w14:textId="1799865B" w:rsidR="008C4EF7" w:rsidRPr="00F327DA" w:rsidRDefault="008C4EF7" w:rsidP="001042DF">
            <w:pPr>
              <w:rPr>
                <w:lang w:val="en-US"/>
              </w:rPr>
            </w:pPr>
          </w:p>
        </w:tc>
        <w:tc>
          <w:tcPr>
            <w:tcW w:w="1530" w:type="dxa"/>
            <w:vAlign w:val="center"/>
            <w:hideMark/>
          </w:tcPr>
          <w:p w14:paraId="080BBC77" w14:textId="7DDD5DA4" w:rsidR="008C4EF7" w:rsidRPr="00F327DA" w:rsidRDefault="0026486F" w:rsidP="001042DF">
            <w:pPr>
              <w:rPr>
                <w:lang w:val="en-US"/>
              </w:rPr>
            </w:pPr>
            <w:r w:rsidRPr="00F327DA">
              <w:rPr>
                <w:lang w:val="en-US"/>
              </w:rPr>
              <w:t>$ 25</w:t>
            </w:r>
          </w:p>
        </w:tc>
        <w:tc>
          <w:tcPr>
            <w:tcW w:w="1525" w:type="dxa"/>
            <w:vAlign w:val="center"/>
            <w:hideMark/>
          </w:tcPr>
          <w:p w14:paraId="4549D502" w14:textId="2CA79299" w:rsidR="008C4EF7" w:rsidRPr="00F327DA" w:rsidRDefault="0026486F" w:rsidP="001042DF">
            <w:pPr>
              <w:rPr>
                <w:lang w:val="en-US"/>
              </w:rPr>
            </w:pPr>
            <w:r w:rsidRPr="00F327DA">
              <w:rPr>
                <w:lang w:val="en-US"/>
              </w:rPr>
              <w:t>$ 25</w:t>
            </w:r>
          </w:p>
        </w:tc>
      </w:tr>
      <w:tr w:rsidR="008C0FE5" w:rsidRPr="00F327DA" w14:paraId="1737DE8B" w14:textId="77777777" w:rsidTr="00186528">
        <w:trPr>
          <w:trHeight w:val="20"/>
        </w:trPr>
        <w:tc>
          <w:tcPr>
            <w:tcW w:w="4765" w:type="dxa"/>
            <w:vAlign w:val="center"/>
            <w:hideMark/>
          </w:tcPr>
          <w:p w14:paraId="33FAD78D" w14:textId="63FBCA56" w:rsidR="008C4EF7" w:rsidRPr="00F327DA" w:rsidRDefault="00F536A3" w:rsidP="001042DF">
            <w:pPr>
              <w:rPr>
                <w:lang w:val="en-US"/>
              </w:rPr>
            </w:pPr>
            <w:r w:rsidRPr="00F327DA">
              <w:rPr>
                <w:lang w:val="en-US"/>
              </w:rPr>
              <w:t>Support for Graduate Studies for placement coordinator and program administrative support</w:t>
            </w:r>
          </w:p>
        </w:tc>
        <w:tc>
          <w:tcPr>
            <w:tcW w:w="1530" w:type="dxa"/>
            <w:vAlign w:val="center"/>
            <w:hideMark/>
          </w:tcPr>
          <w:p w14:paraId="392C0BF2" w14:textId="29D71C33" w:rsidR="008C4EF7" w:rsidRPr="00F327DA" w:rsidRDefault="0026486F" w:rsidP="001042DF">
            <w:pPr>
              <w:rPr>
                <w:lang w:val="en-US"/>
              </w:rPr>
            </w:pPr>
            <w:r w:rsidRPr="00F327DA">
              <w:rPr>
                <w:lang w:val="en-US"/>
              </w:rPr>
              <w:t>$ 10</w:t>
            </w:r>
          </w:p>
        </w:tc>
        <w:tc>
          <w:tcPr>
            <w:tcW w:w="1530" w:type="dxa"/>
            <w:vAlign w:val="center"/>
            <w:hideMark/>
          </w:tcPr>
          <w:p w14:paraId="69D326F1" w14:textId="04C49875" w:rsidR="008C4EF7" w:rsidRPr="00F327DA" w:rsidRDefault="0026486F" w:rsidP="001042DF">
            <w:pPr>
              <w:rPr>
                <w:lang w:val="en-US"/>
              </w:rPr>
            </w:pPr>
            <w:r w:rsidRPr="00F327DA">
              <w:rPr>
                <w:lang w:val="en-US"/>
              </w:rPr>
              <w:t>$ 38</w:t>
            </w:r>
          </w:p>
        </w:tc>
        <w:tc>
          <w:tcPr>
            <w:tcW w:w="1525" w:type="dxa"/>
            <w:vAlign w:val="center"/>
            <w:hideMark/>
          </w:tcPr>
          <w:p w14:paraId="6489D832" w14:textId="30076FBE" w:rsidR="008C4EF7" w:rsidRPr="00F327DA" w:rsidRDefault="0026486F" w:rsidP="001042DF">
            <w:pPr>
              <w:rPr>
                <w:lang w:val="en-US"/>
              </w:rPr>
            </w:pPr>
            <w:r w:rsidRPr="00F327DA">
              <w:rPr>
                <w:lang w:val="en-US"/>
              </w:rPr>
              <w:t>$ 48</w:t>
            </w:r>
          </w:p>
        </w:tc>
      </w:tr>
      <w:tr w:rsidR="008C0FE5" w:rsidRPr="00F327DA" w14:paraId="57F4F5C7" w14:textId="77777777" w:rsidTr="00186528">
        <w:trPr>
          <w:trHeight w:val="20"/>
        </w:trPr>
        <w:tc>
          <w:tcPr>
            <w:tcW w:w="4765" w:type="dxa"/>
            <w:vAlign w:val="center"/>
            <w:hideMark/>
          </w:tcPr>
          <w:p w14:paraId="55612EF2" w14:textId="32F5C3DA" w:rsidR="008C4EF7" w:rsidRPr="00F327DA" w:rsidRDefault="008C4EF7" w:rsidP="001042DF">
            <w:pPr>
              <w:rPr>
                <w:lang w:val="en-US"/>
              </w:rPr>
            </w:pPr>
            <w:r w:rsidRPr="00F327DA">
              <w:rPr>
                <w:lang w:val="en-US"/>
              </w:rPr>
              <w:t>Increase in library acquisitions</w:t>
            </w:r>
          </w:p>
        </w:tc>
        <w:tc>
          <w:tcPr>
            <w:tcW w:w="1530" w:type="dxa"/>
            <w:vAlign w:val="center"/>
            <w:hideMark/>
          </w:tcPr>
          <w:p w14:paraId="0C52D973" w14:textId="4897D483" w:rsidR="008C4EF7" w:rsidRPr="00F327DA" w:rsidRDefault="0026486F" w:rsidP="001042DF">
            <w:pPr>
              <w:rPr>
                <w:lang w:val="en-US"/>
              </w:rPr>
            </w:pPr>
            <w:r w:rsidRPr="00F327DA">
              <w:rPr>
                <w:lang w:val="en-US"/>
              </w:rPr>
              <w:t>$ 75</w:t>
            </w:r>
          </w:p>
        </w:tc>
        <w:tc>
          <w:tcPr>
            <w:tcW w:w="1530" w:type="dxa"/>
            <w:vAlign w:val="center"/>
            <w:hideMark/>
          </w:tcPr>
          <w:p w14:paraId="616CDAF4" w14:textId="4AF96E52" w:rsidR="008C4EF7" w:rsidRPr="00F327DA" w:rsidRDefault="008C4EF7" w:rsidP="001042DF">
            <w:pPr>
              <w:rPr>
                <w:lang w:val="en-US"/>
              </w:rPr>
            </w:pPr>
          </w:p>
        </w:tc>
        <w:tc>
          <w:tcPr>
            <w:tcW w:w="1525" w:type="dxa"/>
            <w:vAlign w:val="center"/>
            <w:hideMark/>
          </w:tcPr>
          <w:p w14:paraId="2818BC1A" w14:textId="528B619C" w:rsidR="008C4EF7" w:rsidRPr="00F327DA" w:rsidRDefault="0026486F" w:rsidP="001042DF">
            <w:pPr>
              <w:rPr>
                <w:lang w:val="en-US"/>
              </w:rPr>
            </w:pPr>
            <w:r w:rsidRPr="00F327DA">
              <w:rPr>
                <w:lang w:val="en-US"/>
              </w:rPr>
              <w:t>$ 75</w:t>
            </w:r>
          </w:p>
        </w:tc>
      </w:tr>
      <w:tr w:rsidR="008C0FE5" w:rsidRPr="00F327DA" w14:paraId="2606D539" w14:textId="77777777" w:rsidTr="00186528">
        <w:trPr>
          <w:trHeight w:val="20"/>
        </w:trPr>
        <w:tc>
          <w:tcPr>
            <w:tcW w:w="4765" w:type="dxa"/>
            <w:vAlign w:val="center"/>
            <w:hideMark/>
          </w:tcPr>
          <w:p w14:paraId="6B85C64E" w14:textId="00A09603" w:rsidR="008C4EF7" w:rsidRPr="00F327DA" w:rsidRDefault="00F327DA" w:rsidP="001042DF">
            <w:pPr>
              <w:rPr>
                <w:lang w:val="en-US"/>
              </w:rPr>
            </w:pPr>
            <w:r w:rsidRPr="00F327DA">
              <w:rPr>
                <w:lang w:val="en-US"/>
              </w:rPr>
              <w:t>Academic skills and advising, and sexual violence prevention and peer support</w:t>
            </w:r>
          </w:p>
        </w:tc>
        <w:tc>
          <w:tcPr>
            <w:tcW w:w="1530" w:type="dxa"/>
            <w:vAlign w:val="center"/>
            <w:hideMark/>
          </w:tcPr>
          <w:p w14:paraId="06159793" w14:textId="2717B7D2" w:rsidR="008C4EF7" w:rsidRPr="00F327DA" w:rsidRDefault="0026486F" w:rsidP="001042DF">
            <w:pPr>
              <w:rPr>
                <w:lang w:val="en-US"/>
              </w:rPr>
            </w:pPr>
            <w:r w:rsidRPr="00F327DA">
              <w:rPr>
                <w:lang w:val="en-US"/>
              </w:rPr>
              <w:t>$ 42</w:t>
            </w:r>
          </w:p>
        </w:tc>
        <w:tc>
          <w:tcPr>
            <w:tcW w:w="1530" w:type="dxa"/>
            <w:vAlign w:val="center"/>
            <w:hideMark/>
          </w:tcPr>
          <w:p w14:paraId="056491FC" w14:textId="5A8A4B4F" w:rsidR="008C4EF7" w:rsidRPr="00F327DA" w:rsidRDefault="008C4EF7" w:rsidP="001042DF">
            <w:pPr>
              <w:rPr>
                <w:lang w:val="en-US"/>
              </w:rPr>
            </w:pPr>
          </w:p>
        </w:tc>
        <w:tc>
          <w:tcPr>
            <w:tcW w:w="1525" w:type="dxa"/>
            <w:vAlign w:val="center"/>
            <w:hideMark/>
          </w:tcPr>
          <w:p w14:paraId="7E413122" w14:textId="7A5BF0E9" w:rsidR="008C4EF7" w:rsidRPr="00F327DA" w:rsidRDefault="0026486F" w:rsidP="001042DF">
            <w:pPr>
              <w:rPr>
                <w:lang w:val="en-US"/>
              </w:rPr>
            </w:pPr>
            <w:r w:rsidRPr="00F327DA">
              <w:rPr>
                <w:lang w:val="en-US"/>
              </w:rPr>
              <w:t>$ 42</w:t>
            </w:r>
          </w:p>
        </w:tc>
      </w:tr>
      <w:tr w:rsidR="008C0FE5" w:rsidRPr="00F327DA" w14:paraId="16657F2E" w14:textId="77777777" w:rsidTr="00186528">
        <w:trPr>
          <w:trHeight w:val="20"/>
        </w:trPr>
        <w:tc>
          <w:tcPr>
            <w:tcW w:w="4765" w:type="dxa"/>
            <w:vAlign w:val="center"/>
            <w:hideMark/>
          </w:tcPr>
          <w:p w14:paraId="6F2EA686" w14:textId="41F39A1B" w:rsidR="008C4EF7" w:rsidRPr="00F327DA" w:rsidRDefault="00F327DA" w:rsidP="001042DF">
            <w:pPr>
              <w:rPr>
                <w:lang w:val="en-US"/>
              </w:rPr>
            </w:pPr>
            <w:r w:rsidRPr="00F327DA">
              <w:rPr>
                <w:lang w:val="en-US"/>
              </w:rPr>
              <w:t>Information technology</w:t>
            </w:r>
            <w:r w:rsidR="003931A4">
              <w:rPr>
                <w:lang w:val="en-US"/>
              </w:rPr>
              <w:t xml:space="preserve"> re: security and event management, mobile application and document imaging/workflow</w:t>
            </w:r>
          </w:p>
        </w:tc>
        <w:tc>
          <w:tcPr>
            <w:tcW w:w="1530" w:type="dxa"/>
            <w:vAlign w:val="center"/>
            <w:hideMark/>
          </w:tcPr>
          <w:p w14:paraId="6BB75312" w14:textId="31294ECC" w:rsidR="008C4EF7" w:rsidRPr="00F327DA" w:rsidRDefault="008C4EF7" w:rsidP="001042DF">
            <w:pPr>
              <w:rPr>
                <w:lang w:val="en-US"/>
              </w:rPr>
            </w:pPr>
            <w:r w:rsidRPr="00F327DA">
              <w:rPr>
                <w:lang w:val="en-US"/>
              </w:rPr>
              <w:t>$</w:t>
            </w:r>
            <w:r w:rsidR="00F327DA" w:rsidRPr="00F327DA">
              <w:rPr>
                <w:lang w:val="en-US"/>
              </w:rPr>
              <w:t>123</w:t>
            </w:r>
          </w:p>
        </w:tc>
        <w:tc>
          <w:tcPr>
            <w:tcW w:w="1530" w:type="dxa"/>
            <w:vAlign w:val="center"/>
            <w:hideMark/>
          </w:tcPr>
          <w:p w14:paraId="72FAC50F" w14:textId="20E8515D" w:rsidR="008C4EF7" w:rsidRPr="00F327DA" w:rsidRDefault="00F327DA" w:rsidP="001042DF">
            <w:pPr>
              <w:rPr>
                <w:lang w:val="en-US"/>
              </w:rPr>
            </w:pPr>
            <w:r w:rsidRPr="00F327DA">
              <w:rPr>
                <w:lang w:val="en-US"/>
              </w:rPr>
              <w:t>$234</w:t>
            </w:r>
          </w:p>
        </w:tc>
        <w:tc>
          <w:tcPr>
            <w:tcW w:w="1525" w:type="dxa"/>
            <w:vAlign w:val="center"/>
            <w:hideMark/>
          </w:tcPr>
          <w:p w14:paraId="1966C378" w14:textId="1287B582" w:rsidR="008C4EF7" w:rsidRPr="00F327DA" w:rsidRDefault="008C4EF7" w:rsidP="001042DF">
            <w:pPr>
              <w:rPr>
                <w:lang w:val="en-US"/>
              </w:rPr>
            </w:pPr>
            <w:r w:rsidRPr="00F327DA">
              <w:rPr>
                <w:lang w:val="en-US"/>
              </w:rPr>
              <w:t>$</w:t>
            </w:r>
            <w:r w:rsidR="00F327DA" w:rsidRPr="00F327DA">
              <w:rPr>
                <w:lang w:val="en-US"/>
              </w:rPr>
              <w:t>357</w:t>
            </w:r>
          </w:p>
        </w:tc>
      </w:tr>
      <w:tr w:rsidR="008C0FE5" w:rsidRPr="00F327DA" w14:paraId="554A4046" w14:textId="77777777" w:rsidTr="00186528">
        <w:trPr>
          <w:trHeight w:val="20"/>
        </w:trPr>
        <w:tc>
          <w:tcPr>
            <w:tcW w:w="4765" w:type="dxa"/>
            <w:vAlign w:val="center"/>
          </w:tcPr>
          <w:p w14:paraId="4ECCBE1C" w14:textId="0A280F9B" w:rsidR="008C4EF7" w:rsidRPr="00F327DA" w:rsidRDefault="00F327DA" w:rsidP="001042DF">
            <w:pPr>
              <w:rPr>
                <w:lang w:val="en-US"/>
              </w:rPr>
            </w:pPr>
            <w:r w:rsidRPr="00F327DA">
              <w:rPr>
                <w:lang w:val="en-US"/>
              </w:rPr>
              <w:t xml:space="preserve">Support for </w:t>
            </w:r>
            <w:r w:rsidR="00C64424">
              <w:rPr>
                <w:lang w:val="en-US"/>
              </w:rPr>
              <w:t>d</w:t>
            </w:r>
            <w:r w:rsidRPr="00F327DA">
              <w:rPr>
                <w:lang w:val="en-US"/>
              </w:rPr>
              <w:t xml:space="preserve">eferred maintenance, Secretariat, and Risk Management </w:t>
            </w:r>
          </w:p>
        </w:tc>
        <w:tc>
          <w:tcPr>
            <w:tcW w:w="1530" w:type="dxa"/>
            <w:vAlign w:val="center"/>
          </w:tcPr>
          <w:p w14:paraId="1FA60D11" w14:textId="7E4FE8A4" w:rsidR="008C4EF7" w:rsidRPr="00F327DA" w:rsidRDefault="00F327DA" w:rsidP="001042DF">
            <w:pPr>
              <w:rPr>
                <w:lang w:val="en-US"/>
              </w:rPr>
            </w:pPr>
            <w:r w:rsidRPr="00F327DA">
              <w:rPr>
                <w:lang w:val="en-US"/>
              </w:rPr>
              <w:t>$188</w:t>
            </w:r>
          </w:p>
        </w:tc>
        <w:tc>
          <w:tcPr>
            <w:tcW w:w="1530" w:type="dxa"/>
            <w:vAlign w:val="center"/>
          </w:tcPr>
          <w:p w14:paraId="4050174C" w14:textId="77777777" w:rsidR="008C4EF7" w:rsidRPr="00F327DA" w:rsidRDefault="008C4EF7" w:rsidP="001042DF">
            <w:pPr>
              <w:rPr>
                <w:lang w:val="en-US"/>
              </w:rPr>
            </w:pPr>
          </w:p>
        </w:tc>
        <w:tc>
          <w:tcPr>
            <w:tcW w:w="1525" w:type="dxa"/>
            <w:vAlign w:val="center"/>
          </w:tcPr>
          <w:p w14:paraId="5B9A9B72" w14:textId="0C17840D" w:rsidR="008C4EF7" w:rsidRPr="00F327DA" w:rsidRDefault="00F327DA" w:rsidP="001042DF">
            <w:pPr>
              <w:rPr>
                <w:lang w:val="en-US"/>
              </w:rPr>
            </w:pPr>
            <w:r w:rsidRPr="00F327DA">
              <w:rPr>
                <w:lang w:val="en-US"/>
              </w:rPr>
              <w:t>$188</w:t>
            </w:r>
          </w:p>
        </w:tc>
      </w:tr>
      <w:tr w:rsidR="008C0FE5" w:rsidRPr="00F327DA" w14:paraId="6C126573" w14:textId="77777777" w:rsidTr="00186528">
        <w:trPr>
          <w:trHeight w:val="20"/>
        </w:trPr>
        <w:tc>
          <w:tcPr>
            <w:tcW w:w="4765" w:type="dxa"/>
            <w:vAlign w:val="center"/>
            <w:hideMark/>
          </w:tcPr>
          <w:p w14:paraId="389CF72A" w14:textId="4068FDB7" w:rsidR="008C4EF7" w:rsidRPr="0026486F" w:rsidRDefault="008C4EF7" w:rsidP="001042DF">
            <w:pPr>
              <w:rPr>
                <w:b/>
                <w:lang w:val="en-US"/>
              </w:rPr>
            </w:pPr>
            <w:r w:rsidRPr="0026486F">
              <w:rPr>
                <w:b/>
                <w:lang w:val="en-US"/>
              </w:rPr>
              <w:t xml:space="preserve">Total </w:t>
            </w:r>
            <w:r w:rsidR="00F327DA" w:rsidRPr="0026486F">
              <w:rPr>
                <w:b/>
                <w:lang w:val="en-US"/>
              </w:rPr>
              <w:t>Net New Strategic Investments</w:t>
            </w:r>
          </w:p>
        </w:tc>
        <w:tc>
          <w:tcPr>
            <w:tcW w:w="1530" w:type="dxa"/>
            <w:vAlign w:val="center"/>
            <w:hideMark/>
          </w:tcPr>
          <w:p w14:paraId="78C2E0B1" w14:textId="5DA66710" w:rsidR="008C4EF7" w:rsidRPr="0026486F" w:rsidRDefault="008C4EF7" w:rsidP="001042DF">
            <w:pPr>
              <w:rPr>
                <w:b/>
                <w:lang w:val="en-US"/>
              </w:rPr>
            </w:pPr>
            <w:r w:rsidRPr="0026486F">
              <w:rPr>
                <w:b/>
                <w:lang w:val="en-US"/>
              </w:rPr>
              <w:t>$</w:t>
            </w:r>
            <w:r w:rsidR="00F327DA" w:rsidRPr="0026486F">
              <w:rPr>
                <w:b/>
                <w:lang w:val="en-US"/>
              </w:rPr>
              <w:t>438</w:t>
            </w:r>
          </w:p>
        </w:tc>
        <w:tc>
          <w:tcPr>
            <w:tcW w:w="1530" w:type="dxa"/>
            <w:vAlign w:val="center"/>
            <w:hideMark/>
          </w:tcPr>
          <w:p w14:paraId="6732EFB8" w14:textId="25975CEE" w:rsidR="008C4EF7" w:rsidRPr="0026486F" w:rsidRDefault="008C4EF7" w:rsidP="001042DF">
            <w:pPr>
              <w:rPr>
                <w:b/>
                <w:lang w:val="en-US"/>
              </w:rPr>
            </w:pPr>
            <w:r w:rsidRPr="0026486F">
              <w:rPr>
                <w:b/>
                <w:lang w:val="en-US"/>
              </w:rPr>
              <w:t>$</w:t>
            </w:r>
            <w:r w:rsidR="00F327DA" w:rsidRPr="0026486F">
              <w:rPr>
                <w:b/>
                <w:lang w:val="en-US"/>
              </w:rPr>
              <w:t>297</w:t>
            </w:r>
          </w:p>
        </w:tc>
        <w:tc>
          <w:tcPr>
            <w:tcW w:w="1525" w:type="dxa"/>
            <w:vAlign w:val="center"/>
            <w:hideMark/>
          </w:tcPr>
          <w:p w14:paraId="282344C8" w14:textId="7AA2F384" w:rsidR="008C4EF7" w:rsidRPr="0026486F" w:rsidRDefault="008C4EF7" w:rsidP="001042DF">
            <w:pPr>
              <w:rPr>
                <w:b/>
                <w:lang w:val="en-US"/>
              </w:rPr>
            </w:pPr>
            <w:r w:rsidRPr="0026486F">
              <w:rPr>
                <w:b/>
                <w:lang w:val="en-US"/>
              </w:rPr>
              <w:t>$</w:t>
            </w:r>
            <w:r w:rsidR="00F327DA" w:rsidRPr="0026486F">
              <w:rPr>
                <w:b/>
                <w:lang w:val="en-US"/>
              </w:rPr>
              <w:t>735</w:t>
            </w:r>
          </w:p>
        </w:tc>
      </w:tr>
    </w:tbl>
    <w:p w14:paraId="775B7D82" w14:textId="1CD86F57" w:rsidR="001253BC" w:rsidRDefault="001253BC" w:rsidP="00836562">
      <w:pPr>
        <w:rPr>
          <w:rFonts w:ascii="Arial" w:hAnsi="Arial" w:cs="Arial"/>
          <w:b/>
          <w:color w:val="154734"/>
          <w:sz w:val="24"/>
          <w:szCs w:val="24"/>
        </w:rPr>
      </w:pPr>
    </w:p>
    <w:p w14:paraId="7E30BDD8" w14:textId="207EFFF7" w:rsidR="003931A4" w:rsidRDefault="003931A4" w:rsidP="00186528">
      <w:pPr>
        <w:spacing w:after="240"/>
        <w:jc w:val="both"/>
        <w:rPr>
          <w:rFonts w:ascii="Arial" w:hAnsi="Arial" w:cs="Arial"/>
          <w:sz w:val="24"/>
          <w:szCs w:val="24"/>
        </w:rPr>
      </w:pPr>
      <w:r w:rsidRPr="00301CD1">
        <w:rPr>
          <w:rFonts w:ascii="Arial" w:hAnsi="Arial" w:cs="Arial"/>
          <w:b/>
          <w:noProof/>
          <w:color w:val="5B7F95"/>
          <w:sz w:val="28"/>
          <w:szCs w:val="28"/>
          <w:lang w:val="en-US" w:eastAsia="en-US"/>
        </w:rPr>
        <w:drawing>
          <wp:inline distT="0" distB="0" distL="0" distR="0" wp14:anchorId="432E78ED" wp14:editId="705F44B3">
            <wp:extent cx="5943600" cy="2475999"/>
            <wp:effectExtent l="0" t="0" r="0" b="635"/>
            <wp:docPr id="24" name="Chart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87D7FC" w14:textId="5E3D5985" w:rsidR="00186528" w:rsidRDefault="00186528" w:rsidP="00876685">
      <w:r w:rsidRPr="002B1B26">
        <w:t xml:space="preserve">In addition to the net new investments, an additional </w:t>
      </w:r>
      <w:r>
        <w:t>nine</w:t>
      </w:r>
      <w:r w:rsidRPr="002B1B26">
        <w:t xml:space="preserve"> tenure track faculty will be funded from within the existing budgets of the academic units</w:t>
      </w:r>
      <w:r>
        <w:t xml:space="preserve"> based on known or planned retirements and </w:t>
      </w:r>
      <w:r>
        <w:lastRenderedPageBreak/>
        <w:t xml:space="preserve">resignations.  It is important to note that these appointments will be strategically placed where there is the most need, which may not necessarily be an exact replacement of the retirement or resignation. </w:t>
      </w:r>
      <w:r w:rsidRPr="002B1B26">
        <w:t xml:space="preserve">  With these strategic investments, </w:t>
      </w:r>
      <w:r>
        <w:t xml:space="preserve">it is anticipated that </w:t>
      </w:r>
      <w:r w:rsidRPr="002B1B26">
        <w:t>teaching capacity</w:t>
      </w:r>
      <w:r>
        <w:t xml:space="preserve"> will remain at acceptable levels</w:t>
      </w:r>
      <w:r w:rsidR="007A54D7">
        <w:t xml:space="preserve"> relative to increasing student enrolment</w:t>
      </w:r>
      <w:r w:rsidRPr="002B1B26">
        <w:t>.</w:t>
      </w:r>
    </w:p>
    <w:p w14:paraId="72A01D14" w14:textId="77777777" w:rsidR="00E67E5E" w:rsidRDefault="00E67E5E" w:rsidP="00876685"/>
    <w:p w14:paraId="1B33FDB9" w14:textId="301D4F83" w:rsidR="00E12344" w:rsidRDefault="00186528" w:rsidP="00876685">
      <w:r w:rsidRPr="00AB7D3A">
        <w:rPr>
          <w:noProof/>
          <w:lang w:val="en-US" w:eastAsia="en-US"/>
        </w:rPr>
        <w:drawing>
          <wp:inline distT="0" distB="0" distL="0" distR="0" wp14:anchorId="6F8026DC" wp14:editId="5ED74BE8">
            <wp:extent cx="6026150" cy="3562350"/>
            <wp:effectExtent l="0" t="0" r="0" b="0"/>
            <wp:docPr id="22" name="Chart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7B9F359" w14:textId="77777777" w:rsidR="00186528" w:rsidRPr="00876685" w:rsidRDefault="00186528" w:rsidP="00186528">
      <w:pPr>
        <w:spacing w:after="240"/>
        <w:jc w:val="both"/>
        <w:rPr>
          <w:rStyle w:val="Emphasis"/>
        </w:rPr>
      </w:pPr>
      <w:r w:rsidRPr="00876685">
        <w:rPr>
          <w:rStyle w:val="Emphasis"/>
        </w:rPr>
        <w:t>* 2019/2020 projected based on proposed budget adjustments</w:t>
      </w:r>
    </w:p>
    <w:p w14:paraId="16A50B00" w14:textId="77777777" w:rsidR="00186528" w:rsidRDefault="00186528" w:rsidP="00E12344">
      <w:pPr>
        <w:spacing w:after="240"/>
        <w:rPr>
          <w:rFonts w:ascii="Arial" w:hAnsi="Arial" w:cs="Arial"/>
          <w:b/>
          <w:color w:val="154734"/>
          <w:sz w:val="48"/>
          <w:szCs w:val="48"/>
        </w:rPr>
      </w:pPr>
      <w:r>
        <w:rPr>
          <w:rFonts w:ascii="Arial" w:hAnsi="Arial" w:cs="Arial"/>
          <w:b/>
          <w:color w:val="154734"/>
          <w:sz w:val="48"/>
          <w:szCs w:val="48"/>
        </w:rPr>
        <w:br w:type="page"/>
      </w:r>
    </w:p>
    <w:p w14:paraId="1D41B11E" w14:textId="13A80F9F" w:rsidR="00E12344" w:rsidRDefault="00E12344" w:rsidP="0026486F">
      <w:pPr>
        <w:pStyle w:val="Heading1"/>
        <w:rPr>
          <w:b/>
          <w:bCs/>
          <w:color w:val="385623" w:themeColor="accent6" w:themeShade="80"/>
        </w:rPr>
      </w:pPr>
      <w:r w:rsidRPr="0026486F">
        <w:rPr>
          <w:b/>
          <w:bCs/>
          <w:color w:val="385623" w:themeColor="accent6" w:themeShade="80"/>
        </w:rPr>
        <w:lastRenderedPageBreak/>
        <w:t>2019/2020 OPERATING BUDGET</w:t>
      </w:r>
    </w:p>
    <w:p w14:paraId="316BFD89" w14:textId="77777777" w:rsidR="0026486F" w:rsidRPr="0026486F" w:rsidRDefault="0026486F" w:rsidP="0026486F"/>
    <w:p w14:paraId="222DCDD3" w14:textId="77777777" w:rsidR="00E12344" w:rsidRDefault="00E12344" w:rsidP="00876685">
      <w:r w:rsidRPr="007A54D7">
        <w:t xml:space="preserve">As a result of the approved budget reduction strategies and the net new strategic investments, the 2019/2020 Operating Budget projects a modest annual surplus of $435,000.  </w:t>
      </w:r>
      <w:r w:rsidRPr="001104B2">
        <w:rPr>
          <w:b/>
        </w:rPr>
        <w:t>This projection assumes growth in student enrolment will be funded.</w:t>
      </w:r>
      <w:r w:rsidRPr="007A54D7">
        <w:t xml:space="preserve">  This operating plan was approved by the Board of Governors on May 10, 2019.</w:t>
      </w:r>
    </w:p>
    <w:tbl>
      <w:tblPr>
        <w:tblStyle w:val="TableGrid"/>
        <w:tblW w:w="9360" w:type="dxa"/>
        <w:tblLayout w:type="fixed"/>
        <w:tblLook w:val="0420" w:firstRow="1" w:lastRow="0" w:firstColumn="0" w:lastColumn="0" w:noHBand="0" w:noVBand="1"/>
      </w:tblPr>
      <w:tblGrid>
        <w:gridCol w:w="3740"/>
        <w:gridCol w:w="1563"/>
        <w:gridCol w:w="1356"/>
        <w:gridCol w:w="1351"/>
        <w:gridCol w:w="1350"/>
      </w:tblGrid>
      <w:tr w:rsidR="00156618" w:rsidRPr="007A54D7" w14:paraId="08FAA1EB" w14:textId="77777777" w:rsidTr="008D175C">
        <w:trPr>
          <w:trHeight w:val="896"/>
        </w:trPr>
        <w:tc>
          <w:tcPr>
            <w:tcW w:w="3742" w:type="dxa"/>
            <w:shd w:val="clear" w:color="auto" w:fill="5B7F95"/>
            <w:hideMark/>
          </w:tcPr>
          <w:p w14:paraId="2D44D551" w14:textId="77777777" w:rsidR="00156618" w:rsidRPr="0072080D" w:rsidRDefault="00156618" w:rsidP="00876685">
            <w:pPr>
              <w:rPr>
                <w:lang w:val="en-US" w:eastAsia="en-US"/>
              </w:rPr>
            </w:pPr>
          </w:p>
        </w:tc>
        <w:tc>
          <w:tcPr>
            <w:tcW w:w="1563" w:type="dxa"/>
            <w:shd w:val="clear" w:color="auto" w:fill="5B7F95"/>
            <w:hideMark/>
          </w:tcPr>
          <w:p w14:paraId="44B85DE4" w14:textId="042299D2" w:rsidR="00156618" w:rsidRPr="0026486F" w:rsidRDefault="00156618" w:rsidP="0026486F">
            <w:pPr>
              <w:jc w:val="center"/>
              <w:rPr>
                <w:b/>
                <w:color w:val="FFFFFF" w:themeColor="background1"/>
                <w:lang w:val="en-US" w:eastAsia="en-US"/>
              </w:rPr>
            </w:pPr>
            <w:r w:rsidRPr="0026486F">
              <w:rPr>
                <w:b/>
                <w:kern w:val="24"/>
                <w:lang w:val="en-US" w:eastAsia="en-US"/>
              </w:rPr>
              <w:t>2018/2019 Projection*</w:t>
            </w:r>
          </w:p>
        </w:tc>
        <w:tc>
          <w:tcPr>
            <w:tcW w:w="1356" w:type="dxa"/>
            <w:shd w:val="clear" w:color="auto" w:fill="5B7F95"/>
            <w:hideMark/>
          </w:tcPr>
          <w:p w14:paraId="6FF6C905" w14:textId="77777777" w:rsidR="00156618" w:rsidRPr="0026486F" w:rsidRDefault="00156618" w:rsidP="0026486F">
            <w:pPr>
              <w:jc w:val="center"/>
              <w:rPr>
                <w:b/>
                <w:color w:val="FFFFFF" w:themeColor="background1"/>
                <w:lang w:val="en-US" w:eastAsia="en-US"/>
              </w:rPr>
            </w:pPr>
            <w:r w:rsidRPr="0026486F">
              <w:rPr>
                <w:b/>
                <w:kern w:val="24"/>
                <w:lang w:val="en-US" w:eastAsia="en-US"/>
              </w:rPr>
              <w:t>2019/2020 Budget</w:t>
            </w:r>
          </w:p>
        </w:tc>
        <w:tc>
          <w:tcPr>
            <w:tcW w:w="1349" w:type="dxa"/>
            <w:shd w:val="clear" w:color="auto" w:fill="5B7F95"/>
            <w:hideMark/>
          </w:tcPr>
          <w:p w14:paraId="111700CB" w14:textId="77777777" w:rsidR="00156618" w:rsidRPr="0026486F" w:rsidRDefault="00156618" w:rsidP="0026486F">
            <w:pPr>
              <w:jc w:val="center"/>
              <w:rPr>
                <w:b/>
                <w:color w:val="FFFFFF" w:themeColor="background1"/>
                <w:lang w:val="en-US" w:eastAsia="en-US"/>
              </w:rPr>
            </w:pPr>
            <w:r w:rsidRPr="0026486F">
              <w:rPr>
                <w:b/>
                <w:kern w:val="24"/>
                <w:lang w:val="en-US" w:eastAsia="en-US"/>
              </w:rPr>
              <w:t>Change</w:t>
            </w:r>
          </w:p>
        </w:tc>
        <w:tc>
          <w:tcPr>
            <w:tcW w:w="1350" w:type="dxa"/>
            <w:shd w:val="clear" w:color="auto" w:fill="5B7F95"/>
          </w:tcPr>
          <w:p w14:paraId="698AB2CF" w14:textId="6CBFB1DB" w:rsidR="00156618" w:rsidRPr="0072080D" w:rsidRDefault="00156618" w:rsidP="00876685">
            <w:pPr>
              <w:rPr>
                <w:color w:val="FFFFFF" w:themeColor="background1"/>
                <w:lang w:val="en-US" w:eastAsia="en-US"/>
              </w:rPr>
            </w:pPr>
          </w:p>
        </w:tc>
      </w:tr>
      <w:tr w:rsidR="00E12344" w:rsidRPr="007A54D7" w14:paraId="64C09D72" w14:textId="77777777" w:rsidTr="0072080D">
        <w:trPr>
          <w:trHeight w:val="480"/>
        </w:trPr>
        <w:tc>
          <w:tcPr>
            <w:tcW w:w="3742" w:type="dxa"/>
            <w:hideMark/>
          </w:tcPr>
          <w:p w14:paraId="12226B5F" w14:textId="77777777" w:rsidR="00E12344" w:rsidRPr="007A54D7" w:rsidRDefault="00E12344" w:rsidP="003D219B">
            <w:pPr>
              <w:rPr>
                <w:lang w:val="en-US" w:eastAsia="en-US"/>
              </w:rPr>
            </w:pPr>
            <w:r w:rsidRPr="007A54D7">
              <w:rPr>
                <w:lang w:val="en-US" w:eastAsia="en-US"/>
              </w:rPr>
              <w:t>Government grants</w:t>
            </w:r>
          </w:p>
        </w:tc>
        <w:tc>
          <w:tcPr>
            <w:tcW w:w="1563" w:type="dxa"/>
            <w:hideMark/>
          </w:tcPr>
          <w:p w14:paraId="4D7DDB6D" w14:textId="087E9DD6" w:rsidR="00E12344" w:rsidRPr="007A54D7" w:rsidRDefault="00156618" w:rsidP="00876685">
            <w:pPr>
              <w:rPr>
                <w:lang w:val="en-US" w:eastAsia="en-US"/>
              </w:rPr>
            </w:pPr>
            <w:r w:rsidRPr="007A54D7">
              <w:rPr>
                <w:color w:val="000000"/>
                <w:kern w:val="24"/>
                <w:lang w:val="en-US" w:eastAsia="en-US"/>
              </w:rPr>
              <w:t>$ 62,851</w:t>
            </w:r>
          </w:p>
        </w:tc>
        <w:tc>
          <w:tcPr>
            <w:tcW w:w="1356" w:type="dxa"/>
            <w:hideMark/>
          </w:tcPr>
          <w:p w14:paraId="7057BC1C" w14:textId="681FA98E" w:rsidR="00E12344" w:rsidRPr="007A54D7" w:rsidRDefault="00156618" w:rsidP="00876685">
            <w:pPr>
              <w:rPr>
                <w:lang w:val="en-US" w:eastAsia="en-US"/>
              </w:rPr>
            </w:pPr>
            <w:r w:rsidRPr="007A54D7">
              <w:rPr>
                <w:color w:val="000000"/>
                <w:kern w:val="24"/>
                <w:lang w:val="en-US" w:eastAsia="en-US"/>
              </w:rPr>
              <w:t>$ 62,592</w:t>
            </w:r>
          </w:p>
        </w:tc>
        <w:tc>
          <w:tcPr>
            <w:tcW w:w="1351" w:type="dxa"/>
            <w:hideMark/>
          </w:tcPr>
          <w:p w14:paraId="70D8845E" w14:textId="7EA8384A"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259)</w:t>
            </w:r>
          </w:p>
        </w:tc>
        <w:tc>
          <w:tcPr>
            <w:tcW w:w="1348" w:type="dxa"/>
            <w:hideMark/>
          </w:tcPr>
          <w:p w14:paraId="3D5AF047" w14:textId="77777777" w:rsidR="00E12344" w:rsidRPr="007A54D7" w:rsidRDefault="00E12344" w:rsidP="00876685">
            <w:pPr>
              <w:rPr>
                <w:lang w:val="en-US" w:eastAsia="en-US"/>
              </w:rPr>
            </w:pPr>
            <w:r w:rsidRPr="007A54D7">
              <w:rPr>
                <w:color w:val="000000"/>
                <w:kern w:val="24"/>
                <w:lang w:val="en-US" w:eastAsia="en-US"/>
              </w:rPr>
              <w:t>-0.4%</w:t>
            </w:r>
          </w:p>
        </w:tc>
      </w:tr>
      <w:tr w:rsidR="00E12344" w:rsidRPr="007A54D7" w14:paraId="035F7BB5" w14:textId="77777777" w:rsidTr="0072080D">
        <w:trPr>
          <w:trHeight w:val="477"/>
        </w:trPr>
        <w:tc>
          <w:tcPr>
            <w:tcW w:w="3742" w:type="dxa"/>
            <w:hideMark/>
          </w:tcPr>
          <w:p w14:paraId="4C650D75" w14:textId="77777777" w:rsidR="00E12344" w:rsidRPr="007A54D7" w:rsidRDefault="00E12344" w:rsidP="003D219B">
            <w:pPr>
              <w:rPr>
                <w:lang w:val="en-US" w:eastAsia="en-US"/>
              </w:rPr>
            </w:pPr>
            <w:r w:rsidRPr="007A54D7">
              <w:rPr>
                <w:lang w:val="en-US" w:eastAsia="en-US"/>
              </w:rPr>
              <w:t>Tuition fees</w:t>
            </w:r>
          </w:p>
        </w:tc>
        <w:tc>
          <w:tcPr>
            <w:tcW w:w="1563" w:type="dxa"/>
            <w:hideMark/>
          </w:tcPr>
          <w:p w14:paraId="5BC222AF" w14:textId="79900629" w:rsidR="00E12344" w:rsidRPr="007A54D7" w:rsidRDefault="00156618" w:rsidP="00876685">
            <w:pPr>
              <w:rPr>
                <w:lang w:val="en-US" w:eastAsia="en-US"/>
              </w:rPr>
            </w:pPr>
            <w:r w:rsidRPr="007A54D7">
              <w:rPr>
                <w:color w:val="000000"/>
                <w:kern w:val="24"/>
                <w:lang w:val="en-US" w:eastAsia="en-US"/>
              </w:rPr>
              <w:t>$ 76,194</w:t>
            </w:r>
          </w:p>
        </w:tc>
        <w:tc>
          <w:tcPr>
            <w:tcW w:w="1356" w:type="dxa"/>
            <w:hideMark/>
          </w:tcPr>
          <w:p w14:paraId="41B983F8" w14:textId="15217873" w:rsidR="00E12344" w:rsidRPr="007A54D7" w:rsidRDefault="00156618" w:rsidP="00876685">
            <w:pPr>
              <w:rPr>
                <w:lang w:val="en-US" w:eastAsia="en-US"/>
              </w:rPr>
            </w:pPr>
            <w:r w:rsidRPr="007A54D7">
              <w:rPr>
                <w:color w:val="000000"/>
                <w:kern w:val="24"/>
                <w:lang w:val="en-US" w:eastAsia="en-US"/>
              </w:rPr>
              <w:t>$ 75,490</w:t>
            </w:r>
          </w:p>
        </w:tc>
        <w:tc>
          <w:tcPr>
            <w:tcW w:w="1351" w:type="dxa"/>
            <w:hideMark/>
          </w:tcPr>
          <w:p w14:paraId="05088642" w14:textId="3E8E4FEB"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704)</w:t>
            </w:r>
          </w:p>
        </w:tc>
        <w:tc>
          <w:tcPr>
            <w:tcW w:w="1348" w:type="dxa"/>
            <w:hideMark/>
          </w:tcPr>
          <w:p w14:paraId="33133831" w14:textId="77777777" w:rsidR="00E12344" w:rsidRPr="007A54D7" w:rsidRDefault="00E12344" w:rsidP="00876685">
            <w:pPr>
              <w:rPr>
                <w:lang w:val="en-US" w:eastAsia="en-US"/>
              </w:rPr>
            </w:pPr>
            <w:r w:rsidRPr="007A54D7">
              <w:rPr>
                <w:color w:val="000000"/>
                <w:kern w:val="24"/>
                <w:lang w:val="en-US" w:eastAsia="en-US"/>
              </w:rPr>
              <w:t>-0.9%</w:t>
            </w:r>
          </w:p>
        </w:tc>
      </w:tr>
      <w:tr w:rsidR="00E12344" w:rsidRPr="007A54D7" w14:paraId="4D3265CE" w14:textId="77777777" w:rsidTr="0072080D">
        <w:trPr>
          <w:trHeight w:val="477"/>
        </w:trPr>
        <w:tc>
          <w:tcPr>
            <w:tcW w:w="3742" w:type="dxa"/>
            <w:hideMark/>
          </w:tcPr>
          <w:p w14:paraId="0119824F" w14:textId="77777777" w:rsidR="00E12344" w:rsidRPr="007A54D7" w:rsidRDefault="00E12344" w:rsidP="003D219B">
            <w:pPr>
              <w:rPr>
                <w:lang w:val="en-US" w:eastAsia="en-US"/>
              </w:rPr>
            </w:pPr>
            <w:r w:rsidRPr="007A54D7">
              <w:rPr>
                <w:lang w:val="en-US" w:eastAsia="en-US"/>
              </w:rPr>
              <w:t>Miscellaneous revenue</w:t>
            </w:r>
          </w:p>
        </w:tc>
        <w:tc>
          <w:tcPr>
            <w:tcW w:w="1563" w:type="dxa"/>
            <w:hideMark/>
          </w:tcPr>
          <w:p w14:paraId="4AA8C2FA" w14:textId="77777777" w:rsidR="00E12344" w:rsidRPr="007A54D7" w:rsidRDefault="00E12344" w:rsidP="00876685">
            <w:pPr>
              <w:rPr>
                <w:lang w:val="en-US" w:eastAsia="en-US"/>
              </w:rPr>
            </w:pPr>
            <w:r w:rsidRPr="007A54D7">
              <w:rPr>
                <w:color w:val="000000"/>
                <w:kern w:val="24"/>
                <w:lang w:val="en-US" w:eastAsia="en-US"/>
              </w:rPr>
              <w:t>$    1,591</w:t>
            </w:r>
          </w:p>
        </w:tc>
        <w:tc>
          <w:tcPr>
            <w:tcW w:w="1356" w:type="dxa"/>
            <w:hideMark/>
          </w:tcPr>
          <w:p w14:paraId="474CC617" w14:textId="77777777" w:rsidR="00E12344" w:rsidRPr="007A54D7" w:rsidRDefault="00E12344" w:rsidP="00876685">
            <w:pPr>
              <w:rPr>
                <w:lang w:val="en-US" w:eastAsia="en-US"/>
              </w:rPr>
            </w:pPr>
            <w:r w:rsidRPr="007A54D7">
              <w:rPr>
                <w:color w:val="000000"/>
                <w:kern w:val="24"/>
                <w:lang w:val="en-US" w:eastAsia="en-US"/>
              </w:rPr>
              <w:t>$    2,192</w:t>
            </w:r>
          </w:p>
        </w:tc>
        <w:tc>
          <w:tcPr>
            <w:tcW w:w="1351" w:type="dxa"/>
            <w:hideMark/>
          </w:tcPr>
          <w:p w14:paraId="67583A6B" w14:textId="77777777" w:rsidR="00E12344" w:rsidRPr="007A54D7" w:rsidRDefault="00E12344" w:rsidP="00876685">
            <w:pPr>
              <w:rPr>
                <w:lang w:val="en-US" w:eastAsia="en-US"/>
              </w:rPr>
            </w:pPr>
            <w:r w:rsidRPr="007A54D7">
              <w:rPr>
                <w:color w:val="000000"/>
                <w:kern w:val="24"/>
                <w:lang w:val="en-US" w:eastAsia="en-US"/>
              </w:rPr>
              <w:t>$      601</w:t>
            </w:r>
          </w:p>
        </w:tc>
        <w:tc>
          <w:tcPr>
            <w:tcW w:w="1348" w:type="dxa"/>
            <w:hideMark/>
          </w:tcPr>
          <w:p w14:paraId="3EC60173" w14:textId="77777777" w:rsidR="00E12344" w:rsidRPr="007A54D7" w:rsidRDefault="00E12344" w:rsidP="00876685">
            <w:pPr>
              <w:rPr>
                <w:lang w:val="en-US" w:eastAsia="en-US"/>
              </w:rPr>
            </w:pPr>
            <w:r w:rsidRPr="007A54D7">
              <w:rPr>
                <w:color w:val="000000"/>
                <w:kern w:val="24"/>
                <w:lang w:val="en-US" w:eastAsia="en-US"/>
              </w:rPr>
              <w:t>37.8%</w:t>
            </w:r>
          </w:p>
        </w:tc>
      </w:tr>
      <w:tr w:rsidR="00E12344" w:rsidRPr="007A54D7" w14:paraId="701A3F56" w14:textId="77777777" w:rsidTr="0072080D">
        <w:trPr>
          <w:trHeight w:val="477"/>
        </w:trPr>
        <w:tc>
          <w:tcPr>
            <w:tcW w:w="3742" w:type="dxa"/>
            <w:hideMark/>
          </w:tcPr>
          <w:p w14:paraId="21785F30" w14:textId="77777777" w:rsidR="00E12344" w:rsidRPr="0026486F" w:rsidRDefault="00E12344" w:rsidP="003D219B">
            <w:pPr>
              <w:rPr>
                <w:b/>
                <w:lang w:val="en-US" w:eastAsia="en-US"/>
              </w:rPr>
            </w:pPr>
            <w:r w:rsidRPr="0026486F">
              <w:rPr>
                <w:b/>
                <w:lang w:val="en-US" w:eastAsia="en-US"/>
              </w:rPr>
              <w:t>TOTAL REVENUE</w:t>
            </w:r>
          </w:p>
        </w:tc>
        <w:tc>
          <w:tcPr>
            <w:tcW w:w="1563" w:type="dxa"/>
            <w:hideMark/>
          </w:tcPr>
          <w:p w14:paraId="21E875A1" w14:textId="77777777" w:rsidR="00E12344" w:rsidRPr="0026486F" w:rsidRDefault="00E12344" w:rsidP="00876685">
            <w:pPr>
              <w:rPr>
                <w:b/>
                <w:lang w:val="en-US" w:eastAsia="en-US"/>
              </w:rPr>
            </w:pPr>
            <w:r w:rsidRPr="0026486F">
              <w:rPr>
                <w:b/>
                <w:color w:val="000000"/>
                <w:kern w:val="24"/>
                <w:lang w:val="en-US" w:eastAsia="en-US"/>
              </w:rPr>
              <w:t>$140,636</w:t>
            </w:r>
          </w:p>
        </w:tc>
        <w:tc>
          <w:tcPr>
            <w:tcW w:w="1356" w:type="dxa"/>
            <w:hideMark/>
          </w:tcPr>
          <w:p w14:paraId="6DF55603" w14:textId="77777777" w:rsidR="00E12344" w:rsidRPr="0026486F" w:rsidRDefault="00E12344" w:rsidP="00876685">
            <w:pPr>
              <w:rPr>
                <w:b/>
                <w:lang w:val="en-US" w:eastAsia="en-US"/>
              </w:rPr>
            </w:pPr>
            <w:r w:rsidRPr="0026486F">
              <w:rPr>
                <w:b/>
                <w:color w:val="000000"/>
                <w:kern w:val="24"/>
                <w:lang w:val="en-US" w:eastAsia="en-US"/>
              </w:rPr>
              <w:t>$140,274</w:t>
            </w:r>
          </w:p>
        </w:tc>
        <w:tc>
          <w:tcPr>
            <w:tcW w:w="1351" w:type="dxa"/>
            <w:hideMark/>
          </w:tcPr>
          <w:p w14:paraId="77F19797" w14:textId="73AA4028" w:rsidR="00E12344" w:rsidRPr="0026486F" w:rsidRDefault="00156618" w:rsidP="00876685">
            <w:pPr>
              <w:rPr>
                <w:b/>
                <w:lang w:val="en-US" w:eastAsia="en-US"/>
              </w:rPr>
            </w:pPr>
            <w:r w:rsidRPr="0026486F">
              <w:rPr>
                <w:b/>
                <w:color w:val="000000"/>
                <w:kern w:val="24"/>
                <w:lang w:val="en-US" w:eastAsia="en-US"/>
              </w:rPr>
              <w:t>$ (</w:t>
            </w:r>
            <w:r w:rsidR="00E12344" w:rsidRPr="0026486F">
              <w:rPr>
                <w:b/>
                <w:color w:val="000000"/>
                <w:kern w:val="24"/>
                <w:lang w:val="en-US" w:eastAsia="en-US"/>
              </w:rPr>
              <w:t>362)</w:t>
            </w:r>
          </w:p>
        </w:tc>
        <w:tc>
          <w:tcPr>
            <w:tcW w:w="1348" w:type="dxa"/>
            <w:hideMark/>
          </w:tcPr>
          <w:p w14:paraId="0A516848" w14:textId="77777777" w:rsidR="00E12344" w:rsidRPr="0026486F" w:rsidRDefault="00E12344" w:rsidP="00876685">
            <w:pPr>
              <w:rPr>
                <w:b/>
                <w:lang w:val="en-US" w:eastAsia="en-US"/>
              </w:rPr>
            </w:pPr>
            <w:r w:rsidRPr="0026486F">
              <w:rPr>
                <w:b/>
                <w:color w:val="000000"/>
                <w:kern w:val="24"/>
                <w:lang w:val="en-US" w:eastAsia="en-US"/>
              </w:rPr>
              <w:t>-0.3%</w:t>
            </w:r>
          </w:p>
        </w:tc>
      </w:tr>
      <w:tr w:rsidR="00E12344" w:rsidRPr="007A54D7" w14:paraId="6B7B694C" w14:textId="77777777" w:rsidTr="0072080D">
        <w:trPr>
          <w:trHeight w:val="477"/>
        </w:trPr>
        <w:tc>
          <w:tcPr>
            <w:tcW w:w="3742" w:type="dxa"/>
            <w:hideMark/>
          </w:tcPr>
          <w:p w14:paraId="488313DC" w14:textId="77777777" w:rsidR="00E12344" w:rsidRPr="007A54D7" w:rsidRDefault="00E12344" w:rsidP="003D219B">
            <w:pPr>
              <w:rPr>
                <w:lang w:val="en-US" w:eastAsia="en-US"/>
              </w:rPr>
            </w:pPr>
            <w:r w:rsidRPr="007A54D7">
              <w:rPr>
                <w:lang w:val="en-US" w:eastAsia="en-US"/>
              </w:rPr>
              <w:t>Instructional staff</w:t>
            </w:r>
          </w:p>
        </w:tc>
        <w:tc>
          <w:tcPr>
            <w:tcW w:w="1563" w:type="dxa"/>
            <w:hideMark/>
          </w:tcPr>
          <w:p w14:paraId="679DA8CD" w14:textId="58F039DB" w:rsidR="00E12344" w:rsidRPr="007A54D7" w:rsidRDefault="00156618" w:rsidP="00876685">
            <w:pPr>
              <w:rPr>
                <w:lang w:val="en-US" w:eastAsia="en-US"/>
              </w:rPr>
            </w:pPr>
            <w:r w:rsidRPr="007A54D7">
              <w:rPr>
                <w:color w:val="000000"/>
                <w:kern w:val="24"/>
                <w:lang w:val="en-US" w:eastAsia="en-US"/>
              </w:rPr>
              <w:t>$ 68,361</w:t>
            </w:r>
          </w:p>
        </w:tc>
        <w:tc>
          <w:tcPr>
            <w:tcW w:w="1356" w:type="dxa"/>
            <w:hideMark/>
          </w:tcPr>
          <w:p w14:paraId="26619E0F" w14:textId="3AD11FFA" w:rsidR="00E12344" w:rsidRPr="007A54D7" w:rsidRDefault="00156618" w:rsidP="00876685">
            <w:pPr>
              <w:rPr>
                <w:lang w:val="en-US" w:eastAsia="en-US"/>
              </w:rPr>
            </w:pPr>
            <w:r w:rsidRPr="007A54D7">
              <w:rPr>
                <w:color w:val="000000"/>
                <w:kern w:val="24"/>
                <w:lang w:val="en-US" w:eastAsia="en-US"/>
              </w:rPr>
              <w:t>$ 70,053</w:t>
            </w:r>
          </w:p>
        </w:tc>
        <w:tc>
          <w:tcPr>
            <w:tcW w:w="1351" w:type="dxa"/>
            <w:hideMark/>
          </w:tcPr>
          <w:p w14:paraId="09F97A46" w14:textId="77777777" w:rsidR="00E12344" w:rsidRPr="007A54D7" w:rsidRDefault="00E12344" w:rsidP="00876685">
            <w:pPr>
              <w:rPr>
                <w:lang w:val="en-US" w:eastAsia="en-US"/>
              </w:rPr>
            </w:pPr>
            <w:r w:rsidRPr="007A54D7">
              <w:rPr>
                <w:color w:val="000000"/>
                <w:kern w:val="24"/>
                <w:lang w:val="en-US" w:eastAsia="en-US"/>
              </w:rPr>
              <w:t>$   1,692</w:t>
            </w:r>
          </w:p>
        </w:tc>
        <w:tc>
          <w:tcPr>
            <w:tcW w:w="1348" w:type="dxa"/>
            <w:hideMark/>
          </w:tcPr>
          <w:p w14:paraId="42D47438" w14:textId="77777777" w:rsidR="00E12344" w:rsidRPr="007A54D7" w:rsidRDefault="00E12344" w:rsidP="00876685">
            <w:pPr>
              <w:rPr>
                <w:lang w:val="en-US" w:eastAsia="en-US"/>
              </w:rPr>
            </w:pPr>
            <w:r w:rsidRPr="007A54D7">
              <w:rPr>
                <w:color w:val="000000"/>
                <w:kern w:val="24"/>
                <w:lang w:val="en-US" w:eastAsia="en-US"/>
              </w:rPr>
              <w:t>2.5%</w:t>
            </w:r>
          </w:p>
        </w:tc>
      </w:tr>
      <w:tr w:rsidR="00E12344" w:rsidRPr="007A54D7" w14:paraId="17B14515" w14:textId="77777777" w:rsidTr="0072080D">
        <w:trPr>
          <w:trHeight w:val="477"/>
        </w:trPr>
        <w:tc>
          <w:tcPr>
            <w:tcW w:w="3742" w:type="dxa"/>
            <w:hideMark/>
          </w:tcPr>
          <w:p w14:paraId="78838A75" w14:textId="77777777" w:rsidR="00E12344" w:rsidRPr="007A54D7" w:rsidRDefault="00E12344" w:rsidP="003D219B">
            <w:pPr>
              <w:rPr>
                <w:lang w:val="en-US" w:eastAsia="en-US"/>
              </w:rPr>
            </w:pPr>
            <w:r w:rsidRPr="007A54D7">
              <w:rPr>
                <w:lang w:val="en-US" w:eastAsia="en-US"/>
              </w:rPr>
              <w:t>Non-instructional staff</w:t>
            </w:r>
          </w:p>
        </w:tc>
        <w:tc>
          <w:tcPr>
            <w:tcW w:w="1563" w:type="dxa"/>
            <w:hideMark/>
          </w:tcPr>
          <w:p w14:paraId="6963A276" w14:textId="1425A9AA" w:rsidR="00E12344" w:rsidRPr="007A54D7" w:rsidRDefault="00156618" w:rsidP="00876685">
            <w:pPr>
              <w:rPr>
                <w:lang w:val="en-US" w:eastAsia="en-US"/>
              </w:rPr>
            </w:pPr>
            <w:r w:rsidRPr="007A54D7">
              <w:rPr>
                <w:color w:val="000000"/>
                <w:kern w:val="24"/>
                <w:lang w:val="en-US" w:eastAsia="en-US"/>
              </w:rPr>
              <w:t>$ 41,736</w:t>
            </w:r>
          </w:p>
        </w:tc>
        <w:tc>
          <w:tcPr>
            <w:tcW w:w="1356" w:type="dxa"/>
            <w:hideMark/>
          </w:tcPr>
          <w:p w14:paraId="2E5C81BA" w14:textId="25BDDEF3" w:rsidR="00E12344" w:rsidRPr="007A54D7" w:rsidRDefault="00156618" w:rsidP="00876685">
            <w:pPr>
              <w:rPr>
                <w:lang w:val="en-US" w:eastAsia="en-US"/>
              </w:rPr>
            </w:pPr>
            <w:r w:rsidRPr="007A54D7">
              <w:rPr>
                <w:color w:val="000000"/>
                <w:kern w:val="24"/>
                <w:lang w:val="en-US" w:eastAsia="en-US"/>
              </w:rPr>
              <w:t>$ 42,798</w:t>
            </w:r>
          </w:p>
        </w:tc>
        <w:tc>
          <w:tcPr>
            <w:tcW w:w="1351" w:type="dxa"/>
            <w:hideMark/>
          </w:tcPr>
          <w:p w14:paraId="2DE995E3" w14:textId="77777777" w:rsidR="00E12344" w:rsidRPr="007A54D7" w:rsidRDefault="00E12344" w:rsidP="00876685">
            <w:pPr>
              <w:rPr>
                <w:lang w:val="en-US" w:eastAsia="en-US"/>
              </w:rPr>
            </w:pPr>
            <w:r w:rsidRPr="007A54D7">
              <w:rPr>
                <w:color w:val="000000"/>
                <w:kern w:val="24"/>
                <w:lang w:val="en-US" w:eastAsia="en-US"/>
              </w:rPr>
              <w:t>$   1,062</w:t>
            </w:r>
          </w:p>
        </w:tc>
        <w:tc>
          <w:tcPr>
            <w:tcW w:w="1348" w:type="dxa"/>
            <w:hideMark/>
          </w:tcPr>
          <w:p w14:paraId="7527ECB8" w14:textId="77777777" w:rsidR="00E12344" w:rsidRPr="007A54D7" w:rsidRDefault="00E12344" w:rsidP="00876685">
            <w:pPr>
              <w:rPr>
                <w:lang w:val="en-US" w:eastAsia="en-US"/>
              </w:rPr>
            </w:pPr>
            <w:r w:rsidRPr="007A54D7">
              <w:rPr>
                <w:color w:val="000000"/>
                <w:kern w:val="24"/>
                <w:lang w:val="en-US" w:eastAsia="en-US"/>
              </w:rPr>
              <w:t>2.5%</w:t>
            </w:r>
          </w:p>
        </w:tc>
      </w:tr>
      <w:tr w:rsidR="00E12344" w:rsidRPr="007A54D7" w14:paraId="4C9E31C3" w14:textId="77777777" w:rsidTr="0072080D">
        <w:trPr>
          <w:trHeight w:val="477"/>
        </w:trPr>
        <w:tc>
          <w:tcPr>
            <w:tcW w:w="3742" w:type="dxa"/>
            <w:hideMark/>
          </w:tcPr>
          <w:p w14:paraId="06B40263" w14:textId="77777777" w:rsidR="00E12344" w:rsidRPr="007A54D7" w:rsidRDefault="00E12344" w:rsidP="003D219B">
            <w:pPr>
              <w:rPr>
                <w:lang w:val="en-US" w:eastAsia="en-US"/>
              </w:rPr>
            </w:pPr>
            <w:r w:rsidRPr="007A54D7">
              <w:rPr>
                <w:lang w:val="en-US" w:eastAsia="en-US"/>
              </w:rPr>
              <w:t>Student financial aid</w:t>
            </w:r>
          </w:p>
        </w:tc>
        <w:tc>
          <w:tcPr>
            <w:tcW w:w="1563" w:type="dxa"/>
            <w:hideMark/>
          </w:tcPr>
          <w:p w14:paraId="42CC3594" w14:textId="6165E534" w:rsidR="00E12344" w:rsidRPr="007A54D7" w:rsidRDefault="00156618" w:rsidP="00876685">
            <w:pPr>
              <w:rPr>
                <w:lang w:val="en-US" w:eastAsia="en-US"/>
              </w:rPr>
            </w:pPr>
            <w:r w:rsidRPr="007A54D7">
              <w:rPr>
                <w:color w:val="000000"/>
                <w:kern w:val="24"/>
                <w:lang w:val="en-US" w:eastAsia="en-US"/>
              </w:rPr>
              <w:t>$ 10,616</w:t>
            </w:r>
          </w:p>
        </w:tc>
        <w:tc>
          <w:tcPr>
            <w:tcW w:w="1356" w:type="dxa"/>
            <w:hideMark/>
          </w:tcPr>
          <w:p w14:paraId="2F304FA6" w14:textId="3B25684C" w:rsidR="00E12344" w:rsidRPr="007A54D7" w:rsidRDefault="00156618" w:rsidP="00876685">
            <w:pPr>
              <w:rPr>
                <w:lang w:val="en-US" w:eastAsia="en-US"/>
              </w:rPr>
            </w:pPr>
            <w:r w:rsidRPr="007A54D7">
              <w:rPr>
                <w:color w:val="000000"/>
                <w:kern w:val="24"/>
                <w:lang w:val="en-US" w:eastAsia="en-US"/>
              </w:rPr>
              <w:t>$ 12,493</w:t>
            </w:r>
          </w:p>
        </w:tc>
        <w:tc>
          <w:tcPr>
            <w:tcW w:w="1351" w:type="dxa"/>
            <w:hideMark/>
          </w:tcPr>
          <w:p w14:paraId="6B6C67D2" w14:textId="77777777" w:rsidR="00E12344" w:rsidRPr="007A54D7" w:rsidRDefault="00E12344" w:rsidP="00876685">
            <w:pPr>
              <w:rPr>
                <w:lang w:val="en-US" w:eastAsia="en-US"/>
              </w:rPr>
            </w:pPr>
            <w:r w:rsidRPr="007A54D7">
              <w:rPr>
                <w:color w:val="000000"/>
                <w:kern w:val="24"/>
                <w:lang w:val="en-US" w:eastAsia="en-US"/>
              </w:rPr>
              <w:t xml:space="preserve">$   1,877 </w:t>
            </w:r>
          </w:p>
        </w:tc>
        <w:tc>
          <w:tcPr>
            <w:tcW w:w="1348" w:type="dxa"/>
            <w:hideMark/>
          </w:tcPr>
          <w:p w14:paraId="38D7DF4C" w14:textId="77777777" w:rsidR="00E12344" w:rsidRPr="007A54D7" w:rsidRDefault="00E12344" w:rsidP="00876685">
            <w:pPr>
              <w:rPr>
                <w:lang w:val="en-US" w:eastAsia="en-US"/>
              </w:rPr>
            </w:pPr>
            <w:r w:rsidRPr="007A54D7">
              <w:rPr>
                <w:color w:val="000000"/>
                <w:kern w:val="24"/>
                <w:lang w:val="en-US" w:eastAsia="en-US"/>
              </w:rPr>
              <w:t>17.7%</w:t>
            </w:r>
          </w:p>
        </w:tc>
      </w:tr>
      <w:tr w:rsidR="00E12344" w:rsidRPr="007A54D7" w14:paraId="22CCF568" w14:textId="77777777" w:rsidTr="0072080D">
        <w:trPr>
          <w:trHeight w:val="477"/>
        </w:trPr>
        <w:tc>
          <w:tcPr>
            <w:tcW w:w="3742" w:type="dxa"/>
            <w:hideMark/>
          </w:tcPr>
          <w:p w14:paraId="6BE7E6CB" w14:textId="77777777" w:rsidR="00E12344" w:rsidRPr="007A54D7" w:rsidRDefault="00E12344" w:rsidP="003D219B">
            <w:pPr>
              <w:rPr>
                <w:lang w:val="en-US" w:eastAsia="en-US"/>
              </w:rPr>
            </w:pPr>
            <w:r w:rsidRPr="007A54D7">
              <w:rPr>
                <w:lang w:val="en-US" w:eastAsia="en-US"/>
              </w:rPr>
              <w:t>Non-staff expense</w:t>
            </w:r>
          </w:p>
        </w:tc>
        <w:tc>
          <w:tcPr>
            <w:tcW w:w="1563" w:type="dxa"/>
            <w:hideMark/>
          </w:tcPr>
          <w:p w14:paraId="3A8DFB99" w14:textId="6FEE7C03" w:rsidR="00E12344" w:rsidRPr="007A54D7" w:rsidRDefault="00156618" w:rsidP="00876685">
            <w:pPr>
              <w:rPr>
                <w:lang w:val="en-US" w:eastAsia="en-US"/>
              </w:rPr>
            </w:pPr>
            <w:r w:rsidRPr="007A54D7">
              <w:rPr>
                <w:color w:val="000000"/>
                <w:kern w:val="24"/>
                <w:lang w:val="en-US" w:eastAsia="en-US"/>
              </w:rPr>
              <w:t>$ 23,694</w:t>
            </w:r>
          </w:p>
        </w:tc>
        <w:tc>
          <w:tcPr>
            <w:tcW w:w="1356" w:type="dxa"/>
            <w:hideMark/>
          </w:tcPr>
          <w:p w14:paraId="73F9EE2D" w14:textId="3254AA82" w:rsidR="00E12344" w:rsidRPr="007A54D7" w:rsidRDefault="00156618" w:rsidP="00876685">
            <w:pPr>
              <w:rPr>
                <w:lang w:val="en-US" w:eastAsia="en-US"/>
              </w:rPr>
            </w:pPr>
            <w:r w:rsidRPr="007A54D7">
              <w:rPr>
                <w:color w:val="000000"/>
                <w:kern w:val="24"/>
                <w:lang w:val="en-US" w:eastAsia="en-US"/>
              </w:rPr>
              <w:t>$ 23,743</w:t>
            </w:r>
          </w:p>
        </w:tc>
        <w:tc>
          <w:tcPr>
            <w:tcW w:w="1351" w:type="dxa"/>
            <w:hideMark/>
          </w:tcPr>
          <w:p w14:paraId="56332D22" w14:textId="77777777" w:rsidR="00E12344" w:rsidRPr="007A54D7" w:rsidRDefault="00E12344" w:rsidP="00876685">
            <w:pPr>
              <w:rPr>
                <w:lang w:val="en-US" w:eastAsia="en-US"/>
              </w:rPr>
            </w:pPr>
            <w:r w:rsidRPr="007A54D7">
              <w:rPr>
                <w:color w:val="000000"/>
                <w:kern w:val="24"/>
                <w:lang w:val="en-US" w:eastAsia="en-US"/>
              </w:rPr>
              <w:t>$        49</w:t>
            </w:r>
          </w:p>
        </w:tc>
        <w:tc>
          <w:tcPr>
            <w:tcW w:w="1348" w:type="dxa"/>
            <w:hideMark/>
          </w:tcPr>
          <w:p w14:paraId="045743B4" w14:textId="77777777" w:rsidR="00E12344" w:rsidRPr="007A54D7" w:rsidRDefault="00E12344" w:rsidP="00876685">
            <w:pPr>
              <w:rPr>
                <w:lang w:val="en-US" w:eastAsia="en-US"/>
              </w:rPr>
            </w:pPr>
            <w:r w:rsidRPr="007A54D7">
              <w:rPr>
                <w:color w:val="000000"/>
                <w:kern w:val="24"/>
                <w:lang w:val="en-US" w:eastAsia="en-US"/>
              </w:rPr>
              <w:t>0.2%</w:t>
            </w:r>
          </w:p>
        </w:tc>
      </w:tr>
      <w:tr w:rsidR="00E12344" w:rsidRPr="007A54D7" w14:paraId="44ADEB1D" w14:textId="77777777" w:rsidTr="0072080D">
        <w:trPr>
          <w:trHeight w:val="477"/>
        </w:trPr>
        <w:tc>
          <w:tcPr>
            <w:tcW w:w="3742" w:type="dxa"/>
            <w:hideMark/>
          </w:tcPr>
          <w:p w14:paraId="2BEF6648" w14:textId="77777777" w:rsidR="00E12344" w:rsidRPr="007A54D7" w:rsidRDefault="00E12344" w:rsidP="003D219B">
            <w:pPr>
              <w:rPr>
                <w:lang w:val="en-US" w:eastAsia="en-US"/>
              </w:rPr>
            </w:pPr>
            <w:r w:rsidRPr="007A54D7">
              <w:rPr>
                <w:lang w:val="en-US" w:eastAsia="en-US"/>
              </w:rPr>
              <w:t xml:space="preserve">   Sub-total</w:t>
            </w:r>
          </w:p>
        </w:tc>
        <w:tc>
          <w:tcPr>
            <w:tcW w:w="1563" w:type="dxa"/>
            <w:hideMark/>
          </w:tcPr>
          <w:p w14:paraId="1A33A748" w14:textId="77777777" w:rsidR="00E12344" w:rsidRPr="007A54D7" w:rsidRDefault="00E12344" w:rsidP="00876685">
            <w:pPr>
              <w:rPr>
                <w:lang w:val="en-US" w:eastAsia="en-US"/>
              </w:rPr>
            </w:pPr>
            <w:r w:rsidRPr="007A54D7">
              <w:rPr>
                <w:color w:val="000000"/>
                <w:kern w:val="24"/>
                <w:lang w:val="en-US" w:eastAsia="en-US"/>
              </w:rPr>
              <w:t>$144,407</w:t>
            </w:r>
          </w:p>
        </w:tc>
        <w:tc>
          <w:tcPr>
            <w:tcW w:w="1356" w:type="dxa"/>
            <w:hideMark/>
          </w:tcPr>
          <w:p w14:paraId="4AA547CD" w14:textId="77777777" w:rsidR="00E12344" w:rsidRPr="007A54D7" w:rsidRDefault="00E12344" w:rsidP="00876685">
            <w:pPr>
              <w:rPr>
                <w:lang w:val="en-US" w:eastAsia="en-US"/>
              </w:rPr>
            </w:pPr>
            <w:r w:rsidRPr="007A54D7">
              <w:rPr>
                <w:color w:val="000000"/>
                <w:kern w:val="24"/>
                <w:lang w:val="en-US" w:eastAsia="en-US"/>
              </w:rPr>
              <w:t>$149,087</w:t>
            </w:r>
          </w:p>
        </w:tc>
        <w:tc>
          <w:tcPr>
            <w:tcW w:w="1351" w:type="dxa"/>
            <w:hideMark/>
          </w:tcPr>
          <w:p w14:paraId="41C06AB9" w14:textId="77777777" w:rsidR="00E12344" w:rsidRPr="007A54D7" w:rsidRDefault="00E12344" w:rsidP="00876685">
            <w:pPr>
              <w:rPr>
                <w:lang w:val="en-US" w:eastAsia="en-US"/>
              </w:rPr>
            </w:pPr>
            <w:r w:rsidRPr="007A54D7">
              <w:rPr>
                <w:color w:val="000000"/>
                <w:kern w:val="24"/>
                <w:lang w:val="en-US" w:eastAsia="en-US"/>
              </w:rPr>
              <w:t>$   4,680</w:t>
            </w:r>
          </w:p>
        </w:tc>
        <w:tc>
          <w:tcPr>
            <w:tcW w:w="1348" w:type="dxa"/>
            <w:hideMark/>
          </w:tcPr>
          <w:p w14:paraId="0DCB2097" w14:textId="77777777" w:rsidR="00E12344" w:rsidRPr="007A54D7" w:rsidRDefault="00E12344" w:rsidP="00876685">
            <w:pPr>
              <w:rPr>
                <w:lang w:val="en-US" w:eastAsia="en-US"/>
              </w:rPr>
            </w:pPr>
            <w:r w:rsidRPr="007A54D7">
              <w:rPr>
                <w:color w:val="000000"/>
                <w:kern w:val="24"/>
                <w:lang w:val="en-US" w:eastAsia="en-US"/>
              </w:rPr>
              <w:t>3.2%</w:t>
            </w:r>
          </w:p>
        </w:tc>
      </w:tr>
      <w:tr w:rsidR="00E12344" w:rsidRPr="007A54D7" w14:paraId="4085A18C" w14:textId="77777777" w:rsidTr="0072080D">
        <w:trPr>
          <w:trHeight w:val="477"/>
        </w:trPr>
        <w:tc>
          <w:tcPr>
            <w:tcW w:w="3742" w:type="dxa"/>
            <w:hideMark/>
          </w:tcPr>
          <w:p w14:paraId="5F21A275" w14:textId="77777777" w:rsidR="00E12344" w:rsidRPr="007A54D7" w:rsidRDefault="00E12344" w:rsidP="003D219B">
            <w:pPr>
              <w:rPr>
                <w:lang w:val="en-US" w:eastAsia="en-US"/>
              </w:rPr>
            </w:pPr>
            <w:r w:rsidRPr="007A54D7">
              <w:rPr>
                <w:lang w:val="en-US" w:eastAsia="en-US"/>
              </w:rPr>
              <w:t>Cost recoveries</w:t>
            </w:r>
          </w:p>
        </w:tc>
        <w:tc>
          <w:tcPr>
            <w:tcW w:w="1563" w:type="dxa"/>
            <w:hideMark/>
          </w:tcPr>
          <w:p w14:paraId="28624410" w14:textId="5DDFF0C8"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8,379)</w:t>
            </w:r>
          </w:p>
        </w:tc>
        <w:tc>
          <w:tcPr>
            <w:tcW w:w="1356" w:type="dxa"/>
            <w:hideMark/>
          </w:tcPr>
          <w:p w14:paraId="5CD9E052" w14:textId="1E003D81"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9,194)</w:t>
            </w:r>
          </w:p>
        </w:tc>
        <w:tc>
          <w:tcPr>
            <w:tcW w:w="1351" w:type="dxa"/>
            <w:hideMark/>
          </w:tcPr>
          <w:p w14:paraId="2D7F80B5" w14:textId="153BAD30"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815)</w:t>
            </w:r>
          </w:p>
        </w:tc>
        <w:tc>
          <w:tcPr>
            <w:tcW w:w="1348" w:type="dxa"/>
            <w:hideMark/>
          </w:tcPr>
          <w:p w14:paraId="0F796E35" w14:textId="77777777" w:rsidR="00E12344" w:rsidRPr="007A54D7" w:rsidRDefault="00E12344" w:rsidP="00876685">
            <w:pPr>
              <w:rPr>
                <w:lang w:val="en-US" w:eastAsia="en-US"/>
              </w:rPr>
            </w:pPr>
            <w:r w:rsidRPr="007A54D7">
              <w:rPr>
                <w:color w:val="000000"/>
                <w:kern w:val="24"/>
                <w:lang w:val="en-US" w:eastAsia="en-US"/>
              </w:rPr>
              <w:t>9.7%</w:t>
            </w:r>
          </w:p>
        </w:tc>
      </w:tr>
      <w:tr w:rsidR="00E12344" w:rsidRPr="007A54D7" w14:paraId="1C67AC54" w14:textId="77777777" w:rsidTr="0072080D">
        <w:trPr>
          <w:trHeight w:val="477"/>
        </w:trPr>
        <w:tc>
          <w:tcPr>
            <w:tcW w:w="3742" w:type="dxa"/>
            <w:hideMark/>
          </w:tcPr>
          <w:p w14:paraId="61935DD6" w14:textId="77777777" w:rsidR="00E12344" w:rsidRPr="0026486F" w:rsidRDefault="00E12344" w:rsidP="003D219B">
            <w:pPr>
              <w:rPr>
                <w:b/>
                <w:lang w:val="en-US" w:eastAsia="en-US"/>
              </w:rPr>
            </w:pPr>
            <w:r w:rsidRPr="0026486F">
              <w:rPr>
                <w:b/>
                <w:lang w:val="en-US" w:eastAsia="en-US"/>
              </w:rPr>
              <w:t>TOTAL NET EXPENSE</w:t>
            </w:r>
          </w:p>
        </w:tc>
        <w:tc>
          <w:tcPr>
            <w:tcW w:w="1563" w:type="dxa"/>
            <w:hideMark/>
          </w:tcPr>
          <w:p w14:paraId="6D83BCBF" w14:textId="77777777" w:rsidR="00E12344" w:rsidRPr="0026486F" w:rsidRDefault="00E12344" w:rsidP="00876685">
            <w:pPr>
              <w:rPr>
                <w:b/>
                <w:lang w:val="en-US" w:eastAsia="en-US"/>
              </w:rPr>
            </w:pPr>
            <w:r w:rsidRPr="0026486F">
              <w:rPr>
                <w:b/>
                <w:color w:val="000000"/>
                <w:kern w:val="24"/>
                <w:lang w:val="en-US" w:eastAsia="en-US"/>
              </w:rPr>
              <w:t>$136,028</w:t>
            </w:r>
          </w:p>
        </w:tc>
        <w:tc>
          <w:tcPr>
            <w:tcW w:w="1356" w:type="dxa"/>
            <w:hideMark/>
          </w:tcPr>
          <w:p w14:paraId="71ECDBB4" w14:textId="77777777" w:rsidR="00E12344" w:rsidRPr="0026486F" w:rsidRDefault="00E12344" w:rsidP="00876685">
            <w:pPr>
              <w:rPr>
                <w:b/>
                <w:lang w:val="en-US" w:eastAsia="en-US"/>
              </w:rPr>
            </w:pPr>
            <w:r w:rsidRPr="0026486F">
              <w:rPr>
                <w:b/>
                <w:color w:val="000000"/>
                <w:kern w:val="24"/>
                <w:lang w:val="en-US" w:eastAsia="en-US"/>
              </w:rPr>
              <w:t>$139,893</w:t>
            </w:r>
          </w:p>
        </w:tc>
        <w:tc>
          <w:tcPr>
            <w:tcW w:w="1351" w:type="dxa"/>
            <w:hideMark/>
          </w:tcPr>
          <w:p w14:paraId="26B56D05" w14:textId="77777777" w:rsidR="00E12344" w:rsidRPr="0026486F" w:rsidRDefault="00E12344" w:rsidP="00876685">
            <w:pPr>
              <w:rPr>
                <w:b/>
                <w:lang w:val="en-US" w:eastAsia="en-US"/>
              </w:rPr>
            </w:pPr>
            <w:r w:rsidRPr="0026486F">
              <w:rPr>
                <w:b/>
                <w:color w:val="000000"/>
                <w:kern w:val="24"/>
                <w:lang w:val="en-US" w:eastAsia="en-US"/>
              </w:rPr>
              <w:t>$   3,865</w:t>
            </w:r>
          </w:p>
        </w:tc>
        <w:tc>
          <w:tcPr>
            <w:tcW w:w="1348" w:type="dxa"/>
            <w:hideMark/>
          </w:tcPr>
          <w:p w14:paraId="1924308F" w14:textId="77777777" w:rsidR="00E12344" w:rsidRPr="0026486F" w:rsidRDefault="00E12344" w:rsidP="00876685">
            <w:pPr>
              <w:rPr>
                <w:b/>
                <w:lang w:val="en-US" w:eastAsia="en-US"/>
              </w:rPr>
            </w:pPr>
            <w:r w:rsidRPr="0026486F">
              <w:rPr>
                <w:b/>
                <w:color w:val="000000"/>
                <w:kern w:val="24"/>
                <w:lang w:val="en-US" w:eastAsia="en-US"/>
              </w:rPr>
              <w:t>2.8%</w:t>
            </w:r>
          </w:p>
        </w:tc>
      </w:tr>
      <w:tr w:rsidR="00E12344" w:rsidRPr="007A54D7" w14:paraId="1F7C486E" w14:textId="77777777" w:rsidTr="0072080D">
        <w:trPr>
          <w:trHeight w:val="477"/>
        </w:trPr>
        <w:tc>
          <w:tcPr>
            <w:tcW w:w="3742" w:type="dxa"/>
            <w:hideMark/>
          </w:tcPr>
          <w:p w14:paraId="12CB3DBF" w14:textId="77777777" w:rsidR="00E12344" w:rsidRPr="007A54D7" w:rsidRDefault="00E12344" w:rsidP="003D219B">
            <w:pPr>
              <w:rPr>
                <w:lang w:val="en-US" w:eastAsia="en-US"/>
              </w:rPr>
            </w:pPr>
            <w:r w:rsidRPr="007A54D7">
              <w:rPr>
                <w:lang w:val="en-US" w:eastAsia="en-US"/>
              </w:rPr>
              <w:t>NET REVENUE</w:t>
            </w:r>
          </w:p>
        </w:tc>
        <w:tc>
          <w:tcPr>
            <w:tcW w:w="1563" w:type="dxa"/>
            <w:hideMark/>
          </w:tcPr>
          <w:p w14:paraId="1A0C7366" w14:textId="77777777" w:rsidR="00E12344" w:rsidRPr="007A54D7" w:rsidRDefault="00E12344" w:rsidP="00876685">
            <w:pPr>
              <w:rPr>
                <w:lang w:val="en-US" w:eastAsia="en-US"/>
              </w:rPr>
            </w:pPr>
            <w:r w:rsidRPr="007A54D7">
              <w:rPr>
                <w:color w:val="000000"/>
                <w:kern w:val="24"/>
                <w:lang w:val="en-US" w:eastAsia="en-US"/>
              </w:rPr>
              <w:t>$    4,608</w:t>
            </w:r>
          </w:p>
        </w:tc>
        <w:tc>
          <w:tcPr>
            <w:tcW w:w="1356" w:type="dxa"/>
            <w:hideMark/>
          </w:tcPr>
          <w:p w14:paraId="6AB3CD92" w14:textId="77777777" w:rsidR="00E12344" w:rsidRPr="007A54D7" w:rsidRDefault="00E12344" w:rsidP="00876685">
            <w:pPr>
              <w:rPr>
                <w:lang w:val="en-US" w:eastAsia="en-US"/>
              </w:rPr>
            </w:pPr>
            <w:r w:rsidRPr="007A54D7">
              <w:rPr>
                <w:color w:val="000000"/>
                <w:kern w:val="24"/>
                <w:lang w:val="en-US" w:eastAsia="en-US"/>
              </w:rPr>
              <w:t>$      381</w:t>
            </w:r>
          </w:p>
        </w:tc>
        <w:tc>
          <w:tcPr>
            <w:tcW w:w="1351" w:type="dxa"/>
            <w:hideMark/>
          </w:tcPr>
          <w:p w14:paraId="0EE238C0" w14:textId="77777777" w:rsidR="00E12344" w:rsidRPr="007A54D7" w:rsidRDefault="00E12344" w:rsidP="00876685">
            <w:pPr>
              <w:rPr>
                <w:lang w:val="en-US" w:eastAsia="en-US"/>
              </w:rPr>
            </w:pPr>
            <w:r w:rsidRPr="007A54D7">
              <w:rPr>
                <w:color w:val="000000"/>
                <w:kern w:val="24"/>
                <w:lang w:val="en-US" w:eastAsia="en-US"/>
              </w:rPr>
              <w:t>$ (4,227)</w:t>
            </w:r>
          </w:p>
        </w:tc>
        <w:tc>
          <w:tcPr>
            <w:tcW w:w="1348" w:type="dxa"/>
            <w:hideMark/>
          </w:tcPr>
          <w:p w14:paraId="17A7E802" w14:textId="77777777" w:rsidR="00E12344" w:rsidRPr="007A54D7" w:rsidRDefault="00E12344" w:rsidP="00876685">
            <w:pPr>
              <w:rPr>
                <w:lang w:val="en-US" w:eastAsia="en-US"/>
              </w:rPr>
            </w:pPr>
          </w:p>
        </w:tc>
      </w:tr>
      <w:tr w:rsidR="00E12344" w:rsidRPr="007A54D7" w14:paraId="0C28FFAE" w14:textId="77777777" w:rsidTr="0072080D">
        <w:trPr>
          <w:trHeight w:val="477"/>
        </w:trPr>
        <w:tc>
          <w:tcPr>
            <w:tcW w:w="3742" w:type="dxa"/>
            <w:hideMark/>
          </w:tcPr>
          <w:p w14:paraId="7DF3642C" w14:textId="77777777" w:rsidR="00E12344" w:rsidRPr="007A54D7" w:rsidRDefault="00E12344" w:rsidP="003D219B">
            <w:pPr>
              <w:rPr>
                <w:lang w:val="en-US" w:eastAsia="en-US"/>
              </w:rPr>
            </w:pPr>
            <w:r w:rsidRPr="007A54D7">
              <w:rPr>
                <w:lang w:val="en-US" w:eastAsia="en-US"/>
              </w:rPr>
              <w:t>Change in Internally Restricted</w:t>
            </w:r>
          </w:p>
        </w:tc>
        <w:tc>
          <w:tcPr>
            <w:tcW w:w="1563" w:type="dxa"/>
            <w:hideMark/>
          </w:tcPr>
          <w:p w14:paraId="7D56DF5F" w14:textId="77777777" w:rsidR="00E12344" w:rsidRPr="007A54D7" w:rsidRDefault="00E12344" w:rsidP="00876685">
            <w:pPr>
              <w:rPr>
                <w:lang w:val="en-US" w:eastAsia="en-US"/>
              </w:rPr>
            </w:pPr>
            <w:r w:rsidRPr="007A54D7">
              <w:rPr>
                <w:color w:val="000000"/>
                <w:kern w:val="24"/>
                <w:lang w:val="en-US" w:eastAsia="en-US"/>
              </w:rPr>
              <w:t>$         88</w:t>
            </w:r>
          </w:p>
        </w:tc>
        <w:tc>
          <w:tcPr>
            <w:tcW w:w="1356" w:type="dxa"/>
            <w:hideMark/>
          </w:tcPr>
          <w:p w14:paraId="08C4353A" w14:textId="77777777" w:rsidR="00E12344" w:rsidRPr="007A54D7" w:rsidRDefault="00E12344" w:rsidP="00876685">
            <w:pPr>
              <w:rPr>
                <w:lang w:val="en-US" w:eastAsia="en-US"/>
              </w:rPr>
            </w:pPr>
            <w:r w:rsidRPr="007A54D7">
              <w:rPr>
                <w:color w:val="000000"/>
                <w:kern w:val="24"/>
                <w:lang w:val="en-US" w:eastAsia="en-US"/>
              </w:rPr>
              <w:t>$        54</w:t>
            </w:r>
          </w:p>
        </w:tc>
        <w:tc>
          <w:tcPr>
            <w:tcW w:w="1351" w:type="dxa"/>
            <w:hideMark/>
          </w:tcPr>
          <w:p w14:paraId="6A3AB355" w14:textId="6E25F055" w:rsidR="00E12344" w:rsidRPr="007A54D7" w:rsidRDefault="00156618" w:rsidP="00876685">
            <w:pPr>
              <w:rPr>
                <w:lang w:val="en-US" w:eastAsia="en-US"/>
              </w:rPr>
            </w:pPr>
            <w:r w:rsidRPr="007A54D7">
              <w:rPr>
                <w:color w:val="000000"/>
                <w:kern w:val="24"/>
                <w:lang w:val="en-US" w:eastAsia="en-US"/>
              </w:rPr>
              <w:t>$ (</w:t>
            </w:r>
            <w:r w:rsidR="00E12344" w:rsidRPr="007A54D7">
              <w:rPr>
                <w:color w:val="000000"/>
                <w:kern w:val="24"/>
                <w:lang w:val="en-US" w:eastAsia="en-US"/>
              </w:rPr>
              <w:t>34)</w:t>
            </w:r>
          </w:p>
        </w:tc>
        <w:tc>
          <w:tcPr>
            <w:tcW w:w="1348" w:type="dxa"/>
            <w:hideMark/>
          </w:tcPr>
          <w:p w14:paraId="68FEA5BC" w14:textId="77777777" w:rsidR="00E12344" w:rsidRPr="007A54D7" w:rsidRDefault="00E12344" w:rsidP="00876685">
            <w:pPr>
              <w:rPr>
                <w:lang w:val="en-US" w:eastAsia="en-US"/>
              </w:rPr>
            </w:pPr>
          </w:p>
        </w:tc>
      </w:tr>
      <w:tr w:rsidR="00E12344" w:rsidRPr="007A54D7" w14:paraId="3D0C2C46" w14:textId="77777777" w:rsidTr="0072080D">
        <w:trPr>
          <w:trHeight w:val="477"/>
        </w:trPr>
        <w:tc>
          <w:tcPr>
            <w:tcW w:w="3742" w:type="dxa"/>
            <w:hideMark/>
          </w:tcPr>
          <w:p w14:paraId="1BE57CA5" w14:textId="77777777" w:rsidR="00E12344" w:rsidRPr="0026486F" w:rsidRDefault="00E12344" w:rsidP="003D219B">
            <w:pPr>
              <w:rPr>
                <w:b/>
                <w:lang w:val="en-US" w:eastAsia="en-US"/>
              </w:rPr>
            </w:pPr>
            <w:r w:rsidRPr="0026486F">
              <w:rPr>
                <w:b/>
                <w:lang w:val="en-US" w:eastAsia="en-US"/>
              </w:rPr>
              <w:t>ANNUAL EXCESS REVENUE OVER EXPENSE</w:t>
            </w:r>
          </w:p>
        </w:tc>
        <w:tc>
          <w:tcPr>
            <w:tcW w:w="1563" w:type="dxa"/>
            <w:hideMark/>
          </w:tcPr>
          <w:p w14:paraId="4DEB95E4" w14:textId="77777777" w:rsidR="00E12344" w:rsidRPr="0026486F" w:rsidRDefault="00E12344" w:rsidP="00876685">
            <w:pPr>
              <w:rPr>
                <w:b/>
                <w:lang w:val="en-US" w:eastAsia="en-US"/>
              </w:rPr>
            </w:pPr>
            <w:r w:rsidRPr="0026486F">
              <w:rPr>
                <w:b/>
                <w:color w:val="000000"/>
                <w:kern w:val="24"/>
                <w:lang w:val="en-US" w:eastAsia="en-US"/>
              </w:rPr>
              <w:t>$    4,696</w:t>
            </w:r>
          </w:p>
        </w:tc>
        <w:tc>
          <w:tcPr>
            <w:tcW w:w="1356" w:type="dxa"/>
            <w:hideMark/>
          </w:tcPr>
          <w:p w14:paraId="61E21E66" w14:textId="77777777" w:rsidR="00E12344" w:rsidRPr="0026486F" w:rsidRDefault="00E12344" w:rsidP="00876685">
            <w:pPr>
              <w:rPr>
                <w:b/>
                <w:lang w:val="en-US" w:eastAsia="en-US"/>
              </w:rPr>
            </w:pPr>
            <w:r w:rsidRPr="0026486F">
              <w:rPr>
                <w:b/>
                <w:color w:val="000000"/>
                <w:kern w:val="24"/>
                <w:lang w:val="en-US" w:eastAsia="en-US"/>
              </w:rPr>
              <w:t>$      435</w:t>
            </w:r>
          </w:p>
        </w:tc>
        <w:tc>
          <w:tcPr>
            <w:tcW w:w="1351" w:type="dxa"/>
            <w:hideMark/>
          </w:tcPr>
          <w:p w14:paraId="3AB50F57" w14:textId="77777777" w:rsidR="00E12344" w:rsidRPr="0026486F" w:rsidRDefault="00E12344" w:rsidP="00876685">
            <w:pPr>
              <w:rPr>
                <w:b/>
                <w:lang w:val="en-US" w:eastAsia="en-US"/>
              </w:rPr>
            </w:pPr>
            <w:r w:rsidRPr="0026486F">
              <w:rPr>
                <w:b/>
                <w:color w:val="000000"/>
                <w:kern w:val="24"/>
                <w:lang w:val="en-US" w:eastAsia="en-US"/>
              </w:rPr>
              <w:t>$ (4,261)</w:t>
            </w:r>
          </w:p>
        </w:tc>
        <w:tc>
          <w:tcPr>
            <w:tcW w:w="1348" w:type="dxa"/>
            <w:hideMark/>
          </w:tcPr>
          <w:p w14:paraId="4F1A3FBE" w14:textId="77777777" w:rsidR="00E12344" w:rsidRPr="007A54D7" w:rsidRDefault="00E12344" w:rsidP="00876685">
            <w:pPr>
              <w:rPr>
                <w:lang w:val="en-US" w:eastAsia="en-US"/>
              </w:rPr>
            </w:pPr>
          </w:p>
        </w:tc>
      </w:tr>
    </w:tbl>
    <w:p w14:paraId="3D3E993D" w14:textId="77777777" w:rsidR="00FD735A" w:rsidRPr="00876685" w:rsidRDefault="00FD735A" w:rsidP="007A54D7">
      <w:pPr>
        <w:spacing w:before="80" w:after="80"/>
        <w:jc w:val="both"/>
        <w:rPr>
          <w:rStyle w:val="SubtleEmphasis"/>
        </w:rPr>
      </w:pPr>
    </w:p>
    <w:p w14:paraId="7932F1A9" w14:textId="1E4665FE" w:rsidR="00923821" w:rsidRPr="007A54D7" w:rsidRDefault="00FD735A" w:rsidP="007A54D7">
      <w:pPr>
        <w:spacing w:before="80" w:after="80"/>
        <w:jc w:val="both"/>
        <w:rPr>
          <w:rFonts w:ascii="Arial" w:hAnsi="Arial" w:cs="Arial"/>
          <w:color w:val="154734"/>
          <w:sz w:val="24"/>
          <w:szCs w:val="24"/>
        </w:rPr>
      </w:pPr>
      <w:r w:rsidRPr="00876685">
        <w:rPr>
          <w:rStyle w:val="SubtleEmphasis"/>
        </w:rPr>
        <w:t>*2018/2019 Projection at time of Board approval in May 2019</w:t>
      </w:r>
      <w:r w:rsidR="00F327DA" w:rsidRPr="007A54D7">
        <w:rPr>
          <w:rFonts w:ascii="Arial" w:hAnsi="Arial" w:cs="Arial"/>
          <w:color w:val="154734"/>
          <w:sz w:val="24"/>
          <w:szCs w:val="24"/>
        </w:rPr>
        <w:br w:type="page"/>
      </w:r>
    </w:p>
    <w:p w14:paraId="15EA9957" w14:textId="5F89D5B4" w:rsidR="00416CAC" w:rsidRPr="0026486F" w:rsidRDefault="008416ED" w:rsidP="0026486F">
      <w:pPr>
        <w:jc w:val="center"/>
        <w:rPr>
          <w:b/>
          <w:bCs/>
        </w:rPr>
      </w:pPr>
      <w:r w:rsidRPr="0026486F">
        <w:rPr>
          <w:b/>
          <w:bCs/>
          <w:noProof/>
          <w:lang w:val="en-US" w:eastAsia="en-US"/>
        </w:rPr>
        <w:lastRenderedPageBreak/>
        <w:drawing>
          <wp:anchor distT="0" distB="0" distL="114300" distR="114300" simplePos="0" relativeHeight="251658240" behindDoc="0" locked="0" layoutInCell="1" allowOverlap="1" wp14:anchorId="22397B95" wp14:editId="35971D18">
            <wp:simplePos x="0" y="0"/>
            <wp:positionH relativeFrom="margin">
              <wp:posOffset>-171450</wp:posOffset>
            </wp:positionH>
            <wp:positionV relativeFrom="paragraph">
              <wp:posOffset>238125</wp:posOffset>
            </wp:positionV>
            <wp:extent cx="6067425" cy="3143250"/>
            <wp:effectExtent l="0" t="0" r="0" b="0"/>
            <wp:wrapTopAndBottom/>
            <wp:docPr id="4" name="Chart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07769E" w:rsidRPr="0026486F">
        <w:rPr>
          <w:b/>
          <w:bCs/>
        </w:rPr>
        <w:t>Breakdown of 201</w:t>
      </w:r>
      <w:r w:rsidR="0026354B" w:rsidRPr="0026486F">
        <w:rPr>
          <w:b/>
          <w:bCs/>
        </w:rPr>
        <w:t>9</w:t>
      </w:r>
      <w:r w:rsidR="0007769E" w:rsidRPr="0026486F">
        <w:rPr>
          <w:b/>
          <w:bCs/>
        </w:rPr>
        <w:t>/20</w:t>
      </w:r>
      <w:r w:rsidR="0026354B" w:rsidRPr="0026486F">
        <w:rPr>
          <w:b/>
          <w:bCs/>
        </w:rPr>
        <w:t>20</w:t>
      </w:r>
      <w:r w:rsidR="0007769E" w:rsidRPr="0026486F">
        <w:rPr>
          <w:b/>
          <w:bCs/>
        </w:rPr>
        <w:t xml:space="preserve"> Operating Revenue</w:t>
      </w:r>
    </w:p>
    <w:p w14:paraId="2CB3D9CD" w14:textId="28A99A24" w:rsidR="00416CAC" w:rsidRPr="00A646C3" w:rsidRDefault="00416CAC" w:rsidP="00876685">
      <w:pPr>
        <w:pStyle w:val="Heading2"/>
      </w:pPr>
    </w:p>
    <w:p w14:paraId="7EF5C6F2" w14:textId="5333BD8D" w:rsidR="00876685" w:rsidRPr="0026486F" w:rsidRDefault="00876685" w:rsidP="0026486F">
      <w:pPr>
        <w:jc w:val="center"/>
        <w:rPr>
          <w:b/>
          <w:bCs/>
        </w:rPr>
      </w:pPr>
      <w:r w:rsidRPr="0026486F">
        <w:rPr>
          <w:b/>
          <w:bCs/>
        </w:rPr>
        <w:t>Breakdown of 2019/2020 Operating Expenses</w:t>
      </w:r>
    </w:p>
    <w:p w14:paraId="3E01D676" w14:textId="02FBAB42" w:rsidR="00966659" w:rsidRDefault="00876685" w:rsidP="00416CAC">
      <w:pPr>
        <w:spacing w:after="120"/>
        <w:jc w:val="center"/>
        <w:rPr>
          <w:rFonts w:ascii="Arial" w:hAnsi="Arial" w:cs="Arial"/>
          <w:b/>
          <w:color w:val="003300"/>
          <w:sz w:val="48"/>
          <w:szCs w:val="48"/>
        </w:rPr>
      </w:pPr>
      <w:r>
        <w:rPr>
          <w:noProof/>
          <w:color w:val="003300"/>
          <w:sz w:val="48"/>
          <w:szCs w:val="48"/>
          <w:lang w:val="en-US" w:eastAsia="en-US"/>
        </w:rPr>
        <w:drawing>
          <wp:anchor distT="0" distB="0" distL="114300" distR="114300" simplePos="0" relativeHeight="251660288" behindDoc="0" locked="0" layoutInCell="1" allowOverlap="1" wp14:anchorId="27B2D0CF" wp14:editId="2D0BDDA6">
            <wp:simplePos x="0" y="0"/>
            <wp:positionH relativeFrom="margin">
              <wp:align>left</wp:align>
            </wp:positionH>
            <wp:positionV relativeFrom="paragraph">
              <wp:posOffset>76200</wp:posOffset>
            </wp:positionV>
            <wp:extent cx="5676900" cy="3114675"/>
            <wp:effectExtent l="0" t="0" r="0" b="0"/>
            <wp:wrapNone/>
            <wp:docPr id="5" name="Char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966659">
        <w:rPr>
          <w:rFonts w:ascii="Arial" w:hAnsi="Arial" w:cs="Arial"/>
          <w:b/>
          <w:color w:val="003300"/>
          <w:sz w:val="48"/>
          <w:szCs w:val="48"/>
        </w:rPr>
        <w:br w:type="page"/>
      </w:r>
    </w:p>
    <w:p w14:paraId="632AB79F" w14:textId="026C503C" w:rsidR="0072080D" w:rsidRDefault="0072080D" w:rsidP="0026486F">
      <w:pPr>
        <w:pStyle w:val="Heading1"/>
        <w:rPr>
          <w:b/>
          <w:bCs/>
          <w:color w:val="385623" w:themeColor="accent6" w:themeShade="80"/>
        </w:rPr>
      </w:pPr>
      <w:r w:rsidRPr="0026486F">
        <w:rPr>
          <w:b/>
          <w:bCs/>
          <w:color w:val="385623" w:themeColor="accent6" w:themeShade="80"/>
        </w:rPr>
        <w:lastRenderedPageBreak/>
        <w:t>2019/2020 ANCILLARY BUDGET</w:t>
      </w:r>
    </w:p>
    <w:p w14:paraId="104EB969" w14:textId="77777777" w:rsidR="0026486F" w:rsidRPr="0026486F" w:rsidRDefault="0026486F" w:rsidP="0026486F"/>
    <w:p w14:paraId="01FD3AD2" w14:textId="6AC62F3A" w:rsidR="00D557CC" w:rsidRDefault="0072080D" w:rsidP="0072080D">
      <w:pPr>
        <w:spacing w:after="240"/>
        <w:jc w:val="both"/>
        <w:rPr>
          <w:rFonts w:ascii="Arial" w:hAnsi="Arial" w:cs="Arial"/>
          <w:color w:val="000000" w:themeColor="text1"/>
          <w:sz w:val="24"/>
          <w:szCs w:val="24"/>
        </w:rPr>
      </w:pPr>
      <w:r w:rsidRPr="00876685">
        <w:t>Ancillary departments also prepared budgets following the same budget planning principles set out for operating budget developers.  In accordance with the Board-approved ancillary fees protocol, the inflationary increase in ancillary fees is 2.4% for 201</w:t>
      </w:r>
      <w:r w:rsidR="008D7673" w:rsidRPr="00876685">
        <w:t>9/2020</w:t>
      </w:r>
      <w:r w:rsidRPr="00876685">
        <w:t>.  The rate is subject to annual review and revision, as necessary</w:t>
      </w:r>
      <w:r>
        <w:rPr>
          <w:rFonts w:ascii="Arial" w:hAnsi="Arial" w:cs="Arial"/>
          <w:color w:val="000000" w:themeColor="text1"/>
          <w:sz w:val="24"/>
          <w:szCs w:val="24"/>
        </w:rPr>
        <w:t xml:space="preserve">.  </w:t>
      </w:r>
    </w:p>
    <w:p w14:paraId="638C00D7" w14:textId="372B99AF" w:rsidR="0072080D" w:rsidRPr="0026486F" w:rsidRDefault="0072080D" w:rsidP="0026486F">
      <w:pPr>
        <w:pStyle w:val="Heading2"/>
        <w:rPr>
          <w:b/>
          <w:bCs/>
          <w:color w:val="5B9BD5" w:themeColor="accent1"/>
        </w:rPr>
      </w:pPr>
      <w:r w:rsidRPr="00715AE0">
        <w:rPr>
          <w:b/>
          <w:bCs/>
        </w:rPr>
        <w:t>Ancillary Operations Funded Primarily from Student Fees</w:t>
      </w:r>
    </w:p>
    <w:p w14:paraId="1EB3A352" w14:textId="77777777" w:rsidR="0026486F" w:rsidRPr="0026486F" w:rsidRDefault="0026486F" w:rsidP="0026486F"/>
    <w:p w14:paraId="3F349752" w14:textId="77777777" w:rsidR="008D7673" w:rsidRDefault="0072080D" w:rsidP="00876685">
      <w:r>
        <w:t xml:space="preserve">The departmental surpluses, if any, of ancillary operations funded primarily from student fees, including Athletics, Housing, Dining, Colleges, Student Health, Parking, </w:t>
      </w:r>
      <w:r w:rsidR="008D7673">
        <w:t xml:space="preserve">Orientation, </w:t>
      </w:r>
      <w:r>
        <w:t>Campus Card</w:t>
      </w:r>
      <w:r w:rsidR="008D7673">
        <w:t xml:space="preserve"> and Durham Transit Pass</w:t>
      </w:r>
      <w:r>
        <w:t xml:space="preserve">, are set aside at year end to fund future projects or initiatives of the respective departments to provide direct benefit to students.  </w:t>
      </w:r>
    </w:p>
    <w:p w14:paraId="1A5E8105" w14:textId="35B89066" w:rsidR="0072080D" w:rsidRDefault="008D7673" w:rsidP="00876685">
      <w:r>
        <w:t>These ancillary services are typically charged an administration overhead fee of 6.62% to help offset the cost of administrative support</w:t>
      </w:r>
      <w:r w:rsidR="00FD3914">
        <w:t xml:space="preserve"> provided from Operations</w:t>
      </w:r>
      <w:r>
        <w:t>.  This year, all ancillary services were asked to contribute an additional 5% to the operating budget as part of the budget reduction strategies.</w:t>
      </w:r>
    </w:p>
    <w:p w14:paraId="6BB07FF5" w14:textId="77777777" w:rsidR="003B3BE6" w:rsidRDefault="003B3BE6" w:rsidP="008D7673">
      <w:pPr>
        <w:spacing w:after="240"/>
        <w:jc w:val="both"/>
        <w:rPr>
          <w:rFonts w:ascii="Arial" w:hAnsi="Arial" w:cs="Arial"/>
          <w:color w:val="000000" w:themeColor="text1"/>
          <w:sz w:val="24"/>
          <w:szCs w:val="24"/>
        </w:rPr>
      </w:pPr>
    </w:p>
    <w:p w14:paraId="710481A4" w14:textId="1EAE8D52" w:rsidR="003B3BE6" w:rsidRPr="0026486F" w:rsidRDefault="003B3BE6" w:rsidP="0026486F">
      <w:pPr>
        <w:jc w:val="center"/>
        <w:rPr>
          <w:b/>
          <w:bCs/>
        </w:rPr>
      </w:pPr>
      <w:r w:rsidRPr="0026486F">
        <w:rPr>
          <w:b/>
          <w:bCs/>
        </w:rPr>
        <w:t>2019/2020 Revenue from Ancillary Operations</w:t>
      </w:r>
    </w:p>
    <w:p w14:paraId="73D4A583" w14:textId="77777777" w:rsidR="00E67E5E" w:rsidRDefault="003B3BE6" w:rsidP="00E67E5E">
      <w:pPr>
        <w:jc w:val="center"/>
        <w:rPr>
          <w:b/>
          <w:bCs/>
        </w:rPr>
      </w:pPr>
      <w:r w:rsidRPr="0026486F">
        <w:rPr>
          <w:b/>
          <w:bCs/>
          <w:noProof/>
          <w:lang w:val="en-US" w:eastAsia="en-US"/>
        </w:rPr>
        <w:drawing>
          <wp:anchor distT="0" distB="0" distL="114300" distR="114300" simplePos="0" relativeHeight="251671552" behindDoc="1" locked="0" layoutInCell="1" allowOverlap="1" wp14:anchorId="5B62A7F5" wp14:editId="3B42FC7A">
            <wp:simplePos x="0" y="0"/>
            <wp:positionH relativeFrom="margin">
              <wp:align>right</wp:align>
            </wp:positionH>
            <wp:positionV relativeFrom="paragraph">
              <wp:posOffset>416560</wp:posOffset>
            </wp:positionV>
            <wp:extent cx="5943600" cy="2940050"/>
            <wp:effectExtent l="0" t="0" r="0" b="0"/>
            <wp:wrapTight wrapText="bothSides">
              <wp:wrapPolygon edited="0">
                <wp:start x="0" y="0"/>
                <wp:lineTo x="0" y="21413"/>
                <wp:lineTo x="21531" y="21413"/>
                <wp:lineTo x="21531" y="0"/>
                <wp:lineTo x="0" y="0"/>
              </wp:wrapPolygon>
            </wp:wrapTight>
            <wp:docPr id="26" name="Chart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26486F">
        <w:rPr>
          <w:b/>
          <w:bCs/>
        </w:rPr>
        <w:t>Funded Primarily from Student Fees</w:t>
      </w:r>
    </w:p>
    <w:p w14:paraId="585C0B5F" w14:textId="77777777" w:rsidR="00E67E5E" w:rsidRDefault="00E67E5E" w:rsidP="00E67E5E">
      <w:pPr>
        <w:jc w:val="center"/>
        <w:rPr>
          <w:b/>
          <w:bCs/>
        </w:rPr>
      </w:pPr>
    </w:p>
    <w:p w14:paraId="36885ADC" w14:textId="3FDE908B" w:rsidR="0072080D" w:rsidRPr="00D557CC" w:rsidRDefault="0072080D" w:rsidP="00D557CC">
      <w:pPr>
        <w:pStyle w:val="Heading2"/>
        <w:rPr>
          <w:b/>
          <w:bCs/>
          <w:color w:val="auto"/>
        </w:rPr>
      </w:pPr>
      <w:r w:rsidRPr="00D557CC">
        <w:rPr>
          <w:b/>
          <w:bCs/>
        </w:rPr>
        <w:lastRenderedPageBreak/>
        <w:t>Ancillary Operations Contributing to the Operating Fund</w:t>
      </w:r>
    </w:p>
    <w:p w14:paraId="3BF7C708" w14:textId="77777777" w:rsidR="00715AE0" w:rsidRPr="00715AE0" w:rsidRDefault="00715AE0" w:rsidP="00715AE0"/>
    <w:p w14:paraId="7533B5E2" w14:textId="77777777" w:rsidR="003B3BE6" w:rsidRDefault="0072080D" w:rsidP="00876685">
      <w:r>
        <w:t>The annual surplus of several ancillary operations, including the Campus Store, Print Shop, English a</w:t>
      </w:r>
      <w:r w:rsidR="00440D63">
        <w:t xml:space="preserve">s a Second Language (ESL), </w:t>
      </w:r>
      <w:r>
        <w:t xml:space="preserve">Conferences/Catering, </w:t>
      </w:r>
      <w:r w:rsidR="00440D63">
        <w:t xml:space="preserve">and Starbucks, </w:t>
      </w:r>
      <w:r>
        <w:t xml:space="preserve">is transferred to the Operating fund each year end.  </w:t>
      </w:r>
    </w:p>
    <w:p w14:paraId="1BBB0C20" w14:textId="5E2D2469" w:rsidR="00FE1338" w:rsidRPr="00E67E5E" w:rsidRDefault="003B3BE6" w:rsidP="00E67E5E">
      <w:r>
        <w:t>This year, all ancillary services were asked to contribute an additional 5% to the operating budget as part of the budget reduction strategies.  As a result, the</w:t>
      </w:r>
      <w:r w:rsidR="0072080D" w:rsidRPr="00A646C3">
        <w:t xml:space="preserve"> projec</w:t>
      </w:r>
      <w:r w:rsidR="0072080D">
        <w:t>ted contribution to the Operating Fund</w:t>
      </w:r>
      <w:r w:rsidR="0072080D" w:rsidRPr="00A646C3">
        <w:t xml:space="preserve"> for </w:t>
      </w:r>
      <w:r w:rsidR="0072080D">
        <w:t xml:space="preserve">these ancillary operations </w:t>
      </w:r>
      <w:r w:rsidR="0063195F">
        <w:t xml:space="preserve">increased to </w:t>
      </w:r>
      <w:r w:rsidR="0072080D">
        <w:t>$</w:t>
      </w:r>
      <w:r w:rsidR="0063195F">
        <w:t>363</w:t>
      </w:r>
      <w:r w:rsidR="0072080D">
        <w:t>,000</w:t>
      </w:r>
      <w:r w:rsidR="0063195F">
        <w:t xml:space="preserve"> in 2019/2020</w:t>
      </w:r>
      <w:r w:rsidR="0072080D">
        <w:t>.</w:t>
      </w:r>
    </w:p>
    <w:tbl>
      <w:tblPr>
        <w:tblStyle w:val="TableGrid"/>
        <w:tblW w:w="9355" w:type="dxa"/>
        <w:tblLayout w:type="fixed"/>
        <w:tblLook w:val="0420" w:firstRow="1" w:lastRow="0" w:firstColumn="0" w:lastColumn="0" w:noHBand="0" w:noVBand="1"/>
      </w:tblPr>
      <w:tblGrid>
        <w:gridCol w:w="2056"/>
        <w:gridCol w:w="1269"/>
        <w:gridCol w:w="1260"/>
        <w:gridCol w:w="1080"/>
        <w:gridCol w:w="1350"/>
        <w:gridCol w:w="1260"/>
        <w:gridCol w:w="1080"/>
      </w:tblGrid>
      <w:tr w:rsidR="00440D63" w:rsidRPr="008D7673" w14:paraId="466D9811" w14:textId="77777777" w:rsidTr="00440D63">
        <w:trPr>
          <w:trHeight w:val="500"/>
        </w:trPr>
        <w:tc>
          <w:tcPr>
            <w:tcW w:w="2056" w:type="dxa"/>
            <w:shd w:val="clear" w:color="auto" w:fill="5B7F95"/>
            <w:hideMark/>
          </w:tcPr>
          <w:p w14:paraId="3B1CA2DA" w14:textId="77777777" w:rsidR="008D7673" w:rsidRPr="008D7673" w:rsidRDefault="008D7673" w:rsidP="003D219B">
            <w:pPr>
              <w:rPr>
                <w:lang w:val="en-US" w:eastAsia="en-US"/>
              </w:rPr>
            </w:pPr>
          </w:p>
        </w:tc>
        <w:tc>
          <w:tcPr>
            <w:tcW w:w="3609" w:type="dxa"/>
            <w:gridSpan w:val="3"/>
            <w:shd w:val="clear" w:color="auto" w:fill="5B7F95"/>
            <w:hideMark/>
          </w:tcPr>
          <w:p w14:paraId="54A0646E" w14:textId="77777777" w:rsidR="008D7673" w:rsidRPr="008D7673" w:rsidRDefault="008D7673" w:rsidP="00715AE0">
            <w:pPr>
              <w:jc w:val="center"/>
              <w:rPr>
                <w:rFonts w:ascii="Arial" w:hAnsi="Arial" w:cs="Arial"/>
                <w:sz w:val="36"/>
                <w:szCs w:val="36"/>
                <w:lang w:val="en-US" w:eastAsia="en-US"/>
              </w:rPr>
            </w:pPr>
            <w:r w:rsidRPr="00156618">
              <w:rPr>
                <w:rFonts w:ascii="Arial" w:hAnsi="Arial" w:cs="Arial"/>
                <w:b/>
                <w:bCs/>
                <w:kern w:val="24"/>
                <w:lang w:val="en-US" w:eastAsia="en-US"/>
              </w:rPr>
              <w:t>2018/2019 Budget</w:t>
            </w:r>
          </w:p>
        </w:tc>
        <w:tc>
          <w:tcPr>
            <w:tcW w:w="3690" w:type="dxa"/>
            <w:gridSpan w:val="3"/>
            <w:shd w:val="clear" w:color="auto" w:fill="5B7F95"/>
            <w:hideMark/>
          </w:tcPr>
          <w:p w14:paraId="2839A4A2" w14:textId="77777777" w:rsidR="008D7673" w:rsidRPr="008D7673" w:rsidRDefault="008D7673" w:rsidP="00715AE0">
            <w:pPr>
              <w:jc w:val="center"/>
              <w:rPr>
                <w:rFonts w:ascii="Arial" w:hAnsi="Arial" w:cs="Arial"/>
                <w:sz w:val="36"/>
                <w:szCs w:val="36"/>
                <w:lang w:val="en-US" w:eastAsia="en-US"/>
              </w:rPr>
            </w:pPr>
            <w:r w:rsidRPr="00156618">
              <w:rPr>
                <w:rFonts w:ascii="Arial" w:hAnsi="Arial" w:cs="Arial"/>
                <w:b/>
                <w:bCs/>
                <w:kern w:val="24"/>
                <w:lang w:val="en-US" w:eastAsia="en-US"/>
              </w:rPr>
              <w:t>2019/2020 Budget</w:t>
            </w:r>
          </w:p>
        </w:tc>
      </w:tr>
      <w:tr w:rsidR="00440D63" w:rsidRPr="008D7673" w14:paraId="77CF1BF3" w14:textId="77777777" w:rsidTr="00440D63">
        <w:trPr>
          <w:trHeight w:val="435"/>
        </w:trPr>
        <w:tc>
          <w:tcPr>
            <w:tcW w:w="2056" w:type="dxa"/>
            <w:shd w:val="clear" w:color="auto" w:fill="5B7F95"/>
            <w:hideMark/>
          </w:tcPr>
          <w:p w14:paraId="756FAD5F" w14:textId="77777777" w:rsidR="008D7673" w:rsidRPr="008D7673" w:rsidRDefault="008D7673" w:rsidP="003D219B">
            <w:pPr>
              <w:rPr>
                <w:rFonts w:ascii="Arial" w:hAnsi="Arial" w:cs="Arial"/>
                <w:lang w:val="en-US" w:eastAsia="en-US"/>
              </w:rPr>
            </w:pPr>
          </w:p>
        </w:tc>
        <w:tc>
          <w:tcPr>
            <w:tcW w:w="1269" w:type="dxa"/>
            <w:shd w:val="clear" w:color="auto" w:fill="5B7F95"/>
            <w:hideMark/>
          </w:tcPr>
          <w:p w14:paraId="585B169D" w14:textId="77777777" w:rsidR="008D7673" w:rsidRPr="008D7673" w:rsidRDefault="008D7673" w:rsidP="003D219B">
            <w:pPr>
              <w:rPr>
                <w:rFonts w:ascii="Arial" w:hAnsi="Arial" w:cs="Arial"/>
                <w:sz w:val="36"/>
                <w:szCs w:val="36"/>
                <w:lang w:val="en-US" w:eastAsia="en-US"/>
              </w:rPr>
            </w:pPr>
            <w:r w:rsidRPr="00156618">
              <w:rPr>
                <w:rFonts w:ascii="Arial" w:hAnsi="Arial" w:cs="Arial"/>
                <w:b/>
                <w:bCs/>
                <w:kern w:val="24"/>
                <w:lang w:val="en-US" w:eastAsia="en-US"/>
              </w:rPr>
              <w:t>Revenue</w:t>
            </w:r>
          </w:p>
        </w:tc>
        <w:tc>
          <w:tcPr>
            <w:tcW w:w="1260" w:type="dxa"/>
            <w:shd w:val="clear" w:color="auto" w:fill="5B7F95"/>
            <w:hideMark/>
          </w:tcPr>
          <w:p w14:paraId="397F5DAD" w14:textId="77777777" w:rsidR="008D7673" w:rsidRPr="008D7673" w:rsidRDefault="008D7673" w:rsidP="003D219B">
            <w:pPr>
              <w:rPr>
                <w:rFonts w:ascii="Arial" w:hAnsi="Arial" w:cs="Arial"/>
                <w:sz w:val="36"/>
                <w:szCs w:val="36"/>
                <w:lang w:val="en-US" w:eastAsia="en-US"/>
              </w:rPr>
            </w:pPr>
            <w:r w:rsidRPr="00156618">
              <w:rPr>
                <w:rFonts w:ascii="Arial" w:hAnsi="Arial" w:cs="Arial"/>
                <w:b/>
                <w:bCs/>
                <w:kern w:val="24"/>
                <w:lang w:val="en-US" w:eastAsia="en-US"/>
              </w:rPr>
              <w:t>Expense</w:t>
            </w:r>
          </w:p>
        </w:tc>
        <w:tc>
          <w:tcPr>
            <w:tcW w:w="1080" w:type="dxa"/>
            <w:shd w:val="clear" w:color="auto" w:fill="5B7F95"/>
            <w:hideMark/>
          </w:tcPr>
          <w:p w14:paraId="66398B1D" w14:textId="77777777" w:rsidR="008D7673" w:rsidRPr="008D7673" w:rsidRDefault="008D7673" w:rsidP="003D219B">
            <w:pPr>
              <w:rPr>
                <w:rFonts w:ascii="Arial" w:hAnsi="Arial" w:cs="Arial"/>
                <w:sz w:val="36"/>
                <w:szCs w:val="36"/>
                <w:lang w:val="en-US" w:eastAsia="en-US"/>
              </w:rPr>
            </w:pPr>
            <w:r w:rsidRPr="00156618">
              <w:rPr>
                <w:rFonts w:ascii="Arial" w:hAnsi="Arial" w:cs="Arial"/>
                <w:b/>
                <w:bCs/>
                <w:kern w:val="24"/>
                <w:lang w:val="en-US" w:eastAsia="en-US"/>
              </w:rPr>
              <w:t>Net</w:t>
            </w:r>
          </w:p>
        </w:tc>
        <w:tc>
          <w:tcPr>
            <w:tcW w:w="1350" w:type="dxa"/>
            <w:shd w:val="clear" w:color="auto" w:fill="5B7F95"/>
            <w:hideMark/>
          </w:tcPr>
          <w:p w14:paraId="489ACC7F" w14:textId="77777777" w:rsidR="008D7673" w:rsidRPr="008D7673" w:rsidRDefault="008D7673" w:rsidP="003D219B">
            <w:pPr>
              <w:rPr>
                <w:rFonts w:ascii="Arial" w:hAnsi="Arial" w:cs="Arial"/>
                <w:sz w:val="36"/>
                <w:szCs w:val="36"/>
                <w:lang w:val="en-US" w:eastAsia="en-US"/>
              </w:rPr>
            </w:pPr>
            <w:r w:rsidRPr="00156618">
              <w:rPr>
                <w:rFonts w:ascii="Arial" w:hAnsi="Arial" w:cs="Arial"/>
                <w:b/>
                <w:bCs/>
                <w:kern w:val="24"/>
                <w:lang w:val="en-US" w:eastAsia="en-US"/>
              </w:rPr>
              <w:t>Revenue</w:t>
            </w:r>
          </w:p>
        </w:tc>
        <w:tc>
          <w:tcPr>
            <w:tcW w:w="1260" w:type="dxa"/>
            <w:shd w:val="clear" w:color="auto" w:fill="5B7F95"/>
            <w:hideMark/>
          </w:tcPr>
          <w:p w14:paraId="75A412BA" w14:textId="77777777" w:rsidR="008D7673" w:rsidRPr="008D7673" w:rsidRDefault="008D7673" w:rsidP="003D219B">
            <w:pPr>
              <w:rPr>
                <w:rFonts w:ascii="Arial" w:hAnsi="Arial" w:cs="Arial"/>
                <w:sz w:val="36"/>
                <w:szCs w:val="36"/>
                <w:lang w:val="en-US" w:eastAsia="en-US"/>
              </w:rPr>
            </w:pPr>
            <w:r w:rsidRPr="00156618">
              <w:rPr>
                <w:rFonts w:ascii="Arial" w:hAnsi="Arial" w:cs="Arial"/>
                <w:b/>
                <w:bCs/>
                <w:kern w:val="24"/>
                <w:lang w:val="en-US" w:eastAsia="en-US"/>
              </w:rPr>
              <w:t>Expense</w:t>
            </w:r>
          </w:p>
        </w:tc>
        <w:tc>
          <w:tcPr>
            <w:tcW w:w="1080" w:type="dxa"/>
            <w:shd w:val="clear" w:color="auto" w:fill="5B7F95"/>
            <w:hideMark/>
          </w:tcPr>
          <w:p w14:paraId="326F6DAC" w14:textId="77777777" w:rsidR="008D7673" w:rsidRPr="008D7673" w:rsidRDefault="008D7673" w:rsidP="00876685">
            <w:pPr>
              <w:rPr>
                <w:rFonts w:ascii="Arial" w:hAnsi="Arial" w:cs="Arial"/>
                <w:sz w:val="36"/>
                <w:szCs w:val="36"/>
                <w:lang w:val="en-US" w:eastAsia="en-US"/>
              </w:rPr>
            </w:pPr>
            <w:r w:rsidRPr="00156618">
              <w:rPr>
                <w:rFonts w:ascii="Arial" w:hAnsi="Arial" w:cs="Arial"/>
                <w:b/>
                <w:bCs/>
                <w:kern w:val="24"/>
                <w:lang w:val="en-US" w:eastAsia="en-US"/>
              </w:rPr>
              <w:t>Net</w:t>
            </w:r>
          </w:p>
        </w:tc>
      </w:tr>
      <w:tr w:rsidR="00440D63" w:rsidRPr="008D7673" w14:paraId="4FC227EC" w14:textId="77777777" w:rsidTr="00440D63">
        <w:trPr>
          <w:trHeight w:val="477"/>
        </w:trPr>
        <w:tc>
          <w:tcPr>
            <w:tcW w:w="2056" w:type="dxa"/>
            <w:hideMark/>
          </w:tcPr>
          <w:p w14:paraId="5F702985" w14:textId="77777777" w:rsidR="008D7673" w:rsidRPr="008D7673" w:rsidRDefault="008D7673" w:rsidP="00715AE0">
            <w:pPr>
              <w:rPr>
                <w:lang w:val="en-US" w:eastAsia="en-US"/>
              </w:rPr>
            </w:pPr>
            <w:r w:rsidRPr="008D7673">
              <w:rPr>
                <w:lang w:val="en-US" w:eastAsia="en-US"/>
              </w:rPr>
              <w:t>Athletics</w:t>
            </w:r>
          </w:p>
        </w:tc>
        <w:tc>
          <w:tcPr>
            <w:tcW w:w="1269" w:type="dxa"/>
            <w:hideMark/>
          </w:tcPr>
          <w:p w14:paraId="6CF5B10D" w14:textId="5BD9FDD5" w:rsidR="008D7673" w:rsidRPr="008D7673" w:rsidRDefault="00156618" w:rsidP="00715AE0">
            <w:pPr>
              <w:rPr>
                <w:lang w:val="en-US" w:eastAsia="en-US"/>
              </w:rPr>
            </w:pPr>
            <w:r w:rsidRPr="008D7673">
              <w:rPr>
                <w:lang w:val="en-US" w:eastAsia="en-US"/>
              </w:rPr>
              <w:t>$ 4,126</w:t>
            </w:r>
          </w:p>
        </w:tc>
        <w:tc>
          <w:tcPr>
            <w:tcW w:w="1260" w:type="dxa"/>
            <w:hideMark/>
          </w:tcPr>
          <w:p w14:paraId="2896227B" w14:textId="70147130" w:rsidR="008D7673" w:rsidRPr="008D7673" w:rsidRDefault="00156618" w:rsidP="00715AE0">
            <w:pPr>
              <w:rPr>
                <w:lang w:val="en-US" w:eastAsia="en-US"/>
              </w:rPr>
            </w:pPr>
            <w:r w:rsidRPr="008D7673">
              <w:rPr>
                <w:lang w:val="en-US" w:eastAsia="en-US"/>
              </w:rPr>
              <w:t>$ 4,191</w:t>
            </w:r>
          </w:p>
        </w:tc>
        <w:tc>
          <w:tcPr>
            <w:tcW w:w="1080" w:type="dxa"/>
            <w:hideMark/>
          </w:tcPr>
          <w:p w14:paraId="22B58BBF" w14:textId="180BD8C7" w:rsidR="008D7673" w:rsidRPr="008D7673" w:rsidRDefault="00156618" w:rsidP="00715AE0">
            <w:pPr>
              <w:rPr>
                <w:lang w:val="en-US" w:eastAsia="en-US"/>
              </w:rPr>
            </w:pPr>
            <w:r w:rsidRPr="008D7673">
              <w:rPr>
                <w:lang w:val="en-US" w:eastAsia="en-US"/>
              </w:rPr>
              <w:t>$ (</w:t>
            </w:r>
            <w:r w:rsidR="008D7673" w:rsidRPr="008D7673">
              <w:rPr>
                <w:lang w:val="en-US" w:eastAsia="en-US"/>
              </w:rPr>
              <w:t>65)</w:t>
            </w:r>
          </w:p>
        </w:tc>
        <w:tc>
          <w:tcPr>
            <w:tcW w:w="1350" w:type="dxa"/>
            <w:hideMark/>
          </w:tcPr>
          <w:p w14:paraId="29BEE7AB" w14:textId="4FD9547B" w:rsidR="008D7673" w:rsidRPr="008D7673" w:rsidRDefault="00156618" w:rsidP="00715AE0">
            <w:pPr>
              <w:rPr>
                <w:lang w:val="en-US" w:eastAsia="en-US"/>
              </w:rPr>
            </w:pPr>
            <w:r w:rsidRPr="008D7673">
              <w:rPr>
                <w:lang w:val="en-US" w:eastAsia="en-US"/>
              </w:rPr>
              <w:t>$ 4,293</w:t>
            </w:r>
          </w:p>
        </w:tc>
        <w:tc>
          <w:tcPr>
            <w:tcW w:w="1260" w:type="dxa"/>
            <w:hideMark/>
          </w:tcPr>
          <w:p w14:paraId="1BCA5753" w14:textId="6C369271" w:rsidR="008D7673" w:rsidRPr="008D7673" w:rsidRDefault="00156618" w:rsidP="00715AE0">
            <w:pPr>
              <w:rPr>
                <w:lang w:val="en-US" w:eastAsia="en-US"/>
              </w:rPr>
            </w:pPr>
            <w:r w:rsidRPr="008D7673">
              <w:rPr>
                <w:lang w:val="en-US" w:eastAsia="en-US"/>
              </w:rPr>
              <w:t>$ 4,271</w:t>
            </w:r>
          </w:p>
        </w:tc>
        <w:tc>
          <w:tcPr>
            <w:tcW w:w="1080" w:type="dxa"/>
            <w:hideMark/>
          </w:tcPr>
          <w:p w14:paraId="3C84DA94" w14:textId="59E901E6" w:rsidR="008D7673" w:rsidRPr="008D7673" w:rsidRDefault="008D7673" w:rsidP="00715AE0">
            <w:pPr>
              <w:rPr>
                <w:lang w:val="en-US" w:eastAsia="en-US"/>
              </w:rPr>
            </w:pPr>
            <w:r w:rsidRPr="008D7673">
              <w:rPr>
                <w:lang w:val="en-US" w:eastAsia="en-US"/>
              </w:rPr>
              <w:t>$     22</w:t>
            </w:r>
          </w:p>
        </w:tc>
      </w:tr>
      <w:tr w:rsidR="00440D63" w:rsidRPr="008D7673" w14:paraId="4E0AEE9E" w14:textId="77777777" w:rsidTr="00440D63">
        <w:trPr>
          <w:trHeight w:val="477"/>
        </w:trPr>
        <w:tc>
          <w:tcPr>
            <w:tcW w:w="2056" w:type="dxa"/>
            <w:hideMark/>
          </w:tcPr>
          <w:p w14:paraId="66825F80" w14:textId="77777777" w:rsidR="008D7673" w:rsidRPr="008D7673" w:rsidRDefault="008D7673" w:rsidP="00715AE0">
            <w:pPr>
              <w:rPr>
                <w:lang w:val="en-US" w:eastAsia="en-US"/>
              </w:rPr>
            </w:pPr>
            <w:r w:rsidRPr="008D7673">
              <w:rPr>
                <w:lang w:val="en-US" w:eastAsia="en-US"/>
              </w:rPr>
              <w:t>Housing</w:t>
            </w:r>
          </w:p>
        </w:tc>
        <w:tc>
          <w:tcPr>
            <w:tcW w:w="1269" w:type="dxa"/>
            <w:hideMark/>
          </w:tcPr>
          <w:p w14:paraId="32969861" w14:textId="77777777" w:rsidR="008D7673" w:rsidRPr="008D7673" w:rsidRDefault="008D7673" w:rsidP="00715AE0">
            <w:pPr>
              <w:rPr>
                <w:lang w:val="en-US" w:eastAsia="en-US"/>
              </w:rPr>
            </w:pPr>
            <w:r w:rsidRPr="008D7673">
              <w:rPr>
                <w:lang w:val="en-US" w:eastAsia="en-US"/>
              </w:rPr>
              <w:t>$12,090</w:t>
            </w:r>
          </w:p>
        </w:tc>
        <w:tc>
          <w:tcPr>
            <w:tcW w:w="1260" w:type="dxa"/>
            <w:hideMark/>
          </w:tcPr>
          <w:p w14:paraId="566083C6" w14:textId="77777777" w:rsidR="008D7673" w:rsidRPr="008D7673" w:rsidRDefault="008D7673" w:rsidP="00715AE0">
            <w:pPr>
              <w:rPr>
                <w:lang w:val="en-US" w:eastAsia="en-US"/>
              </w:rPr>
            </w:pPr>
            <w:r w:rsidRPr="008D7673">
              <w:rPr>
                <w:lang w:val="en-US" w:eastAsia="en-US"/>
              </w:rPr>
              <w:t>$12,090</w:t>
            </w:r>
          </w:p>
        </w:tc>
        <w:tc>
          <w:tcPr>
            <w:tcW w:w="1080" w:type="dxa"/>
            <w:hideMark/>
          </w:tcPr>
          <w:p w14:paraId="4FAC2828" w14:textId="60270FB0" w:rsidR="008D7673" w:rsidRPr="008D7673" w:rsidRDefault="008D7673" w:rsidP="00715AE0">
            <w:pPr>
              <w:rPr>
                <w:lang w:val="en-US" w:eastAsia="en-US"/>
              </w:rPr>
            </w:pPr>
            <w:r w:rsidRPr="008D7673">
              <w:rPr>
                <w:lang w:val="en-US" w:eastAsia="en-US"/>
              </w:rPr>
              <w:t>$       0</w:t>
            </w:r>
          </w:p>
        </w:tc>
        <w:tc>
          <w:tcPr>
            <w:tcW w:w="1350" w:type="dxa"/>
            <w:hideMark/>
          </w:tcPr>
          <w:p w14:paraId="1A8D6F95" w14:textId="77777777" w:rsidR="008D7673" w:rsidRPr="008D7673" w:rsidRDefault="008D7673" w:rsidP="00715AE0">
            <w:pPr>
              <w:rPr>
                <w:lang w:val="en-US" w:eastAsia="en-US"/>
              </w:rPr>
            </w:pPr>
            <w:r w:rsidRPr="008D7673">
              <w:rPr>
                <w:lang w:val="en-US" w:eastAsia="en-US"/>
              </w:rPr>
              <w:t>$12,773</w:t>
            </w:r>
          </w:p>
        </w:tc>
        <w:tc>
          <w:tcPr>
            <w:tcW w:w="1260" w:type="dxa"/>
            <w:hideMark/>
          </w:tcPr>
          <w:p w14:paraId="3EFE73EE" w14:textId="77777777" w:rsidR="008D7673" w:rsidRPr="008D7673" w:rsidRDefault="008D7673" w:rsidP="00715AE0">
            <w:pPr>
              <w:rPr>
                <w:lang w:val="en-US" w:eastAsia="en-US"/>
              </w:rPr>
            </w:pPr>
            <w:r w:rsidRPr="008D7673">
              <w:rPr>
                <w:lang w:val="en-US" w:eastAsia="en-US"/>
              </w:rPr>
              <w:t>$12,773</w:t>
            </w:r>
          </w:p>
        </w:tc>
        <w:tc>
          <w:tcPr>
            <w:tcW w:w="1080" w:type="dxa"/>
            <w:hideMark/>
          </w:tcPr>
          <w:p w14:paraId="42B25245" w14:textId="6D8D68AF" w:rsidR="008D7673" w:rsidRPr="008D7673" w:rsidRDefault="008D7673" w:rsidP="00715AE0">
            <w:pPr>
              <w:rPr>
                <w:lang w:val="en-US" w:eastAsia="en-US"/>
              </w:rPr>
            </w:pPr>
            <w:r w:rsidRPr="008D7673">
              <w:rPr>
                <w:lang w:val="en-US" w:eastAsia="en-US"/>
              </w:rPr>
              <w:t>$       0</w:t>
            </w:r>
          </w:p>
        </w:tc>
      </w:tr>
      <w:tr w:rsidR="00440D63" w:rsidRPr="008D7673" w14:paraId="1D0507A4" w14:textId="77777777" w:rsidTr="00440D63">
        <w:trPr>
          <w:trHeight w:val="477"/>
        </w:trPr>
        <w:tc>
          <w:tcPr>
            <w:tcW w:w="2056" w:type="dxa"/>
            <w:hideMark/>
          </w:tcPr>
          <w:p w14:paraId="1470FD2A" w14:textId="77777777" w:rsidR="008D7673" w:rsidRPr="008D7673" w:rsidRDefault="008D7673" w:rsidP="00715AE0">
            <w:pPr>
              <w:rPr>
                <w:lang w:val="en-US" w:eastAsia="en-US"/>
              </w:rPr>
            </w:pPr>
            <w:r w:rsidRPr="008D7673">
              <w:rPr>
                <w:lang w:val="en-US" w:eastAsia="en-US"/>
              </w:rPr>
              <w:t>Dining</w:t>
            </w:r>
          </w:p>
        </w:tc>
        <w:tc>
          <w:tcPr>
            <w:tcW w:w="1269" w:type="dxa"/>
            <w:hideMark/>
          </w:tcPr>
          <w:p w14:paraId="4DACFEF6" w14:textId="5531B828" w:rsidR="008D7673" w:rsidRPr="008D7673" w:rsidRDefault="00156618" w:rsidP="00715AE0">
            <w:pPr>
              <w:rPr>
                <w:lang w:val="en-US" w:eastAsia="en-US"/>
              </w:rPr>
            </w:pPr>
            <w:r w:rsidRPr="008D7673">
              <w:rPr>
                <w:lang w:val="en-US" w:eastAsia="en-US"/>
              </w:rPr>
              <w:t>$ 7,259</w:t>
            </w:r>
          </w:p>
        </w:tc>
        <w:tc>
          <w:tcPr>
            <w:tcW w:w="1260" w:type="dxa"/>
            <w:hideMark/>
          </w:tcPr>
          <w:p w14:paraId="00BE00E2" w14:textId="11307F77" w:rsidR="008D7673" w:rsidRPr="008D7673" w:rsidRDefault="00156618" w:rsidP="00715AE0">
            <w:pPr>
              <w:rPr>
                <w:lang w:val="en-US" w:eastAsia="en-US"/>
              </w:rPr>
            </w:pPr>
            <w:r w:rsidRPr="008D7673">
              <w:rPr>
                <w:lang w:val="en-US" w:eastAsia="en-US"/>
              </w:rPr>
              <w:t>$ 7,259</w:t>
            </w:r>
          </w:p>
        </w:tc>
        <w:tc>
          <w:tcPr>
            <w:tcW w:w="1080" w:type="dxa"/>
            <w:hideMark/>
          </w:tcPr>
          <w:p w14:paraId="14348597" w14:textId="357F0F31" w:rsidR="008D7673" w:rsidRPr="008D7673" w:rsidRDefault="008D7673" w:rsidP="00715AE0">
            <w:pPr>
              <w:rPr>
                <w:lang w:val="en-US" w:eastAsia="en-US"/>
              </w:rPr>
            </w:pPr>
            <w:r w:rsidRPr="008D7673">
              <w:rPr>
                <w:rFonts w:eastAsiaTheme="minorEastAsia"/>
                <w:color w:val="000000"/>
                <w:lang w:val="en-US" w:eastAsia="en-US"/>
              </w:rPr>
              <w:t>$       0</w:t>
            </w:r>
          </w:p>
        </w:tc>
        <w:tc>
          <w:tcPr>
            <w:tcW w:w="1350" w:type="dxa"/>
            <w:hideMark/>
          </w:tcPr>
          <w:p w14:paraId="3DF5C122" w14:textId="356D020F" w:rsidR="008D7673" w:rsidRPr="008D7673" w:rsidRDefault="00156618" w:rsidP="00715AE0">
            <w:pPr>
              <w:rPr>
                <w:lang w:val="en-US" w:eastAsia="en-US"/>
              </w:rPr>
            </w:pPr>
            <w:r w:rsidRPr="008D7673">
              <w:rPr>
                <w:lang w:val="en-US" w:eastAsia="en-US"/>
              </w:rPr>
              <w:t>$ 7,497</w:t>
            </w:r>
          </w:p>
        </w:tc>
        <w:tc>
          <w:tcPr>
            <w:tcW w:w="1260" w:type="dxa"/>
            <w:hideMark/>
          </w:tcPr>
          <w:p w14:paraId="17FEFB13" w14:textId="13C87329" w:rsidR="008D7673" w:rsidRPr="008D7673" w:rsidRDefault="00156618" w:rsidP="00715AE0">
            <w:pPr>
              <w:rPr>
                <w:lang w:val="en-US" w:eastAsia="en-US"/>
              </w:rPr>
            </w:pPr>
            <w:r w:rsidRPr="008D7673">
              <w:rPr>
                <w:lang w:val="en-US" w:eastAsia="en-US"/>
              </w:rPr>
              <w:t>$ 7,497</w:t>
            </w:r>
          </w:p>
        </w:tc>
        <w:tc>
          <w:tcPr>
            <w:tcW w:w="1080" w:type="dxa"/>
            <w:hideMark/>
          </w:tcPr>
          <w:p w14:paraId="2BF2CF3C" w14:textId="7A2D446C" w:rsidR="008D7673" w:rsidRPr="008D7673" w:rsidRDefault="008D7673" w:rsidP="00715AE0">
            <w:pPr>
              <w:rPr>
                <w:lang w:val="en-US" w:eastAsia="en-US"/>
              </w:rPr>
            </w:pPr>
            <w:r w:rsidRPr="008D7673">
              <w:rPr>
                <w:rFonts w:eastAsiaTheme="minorEastAsia"/>
                <w:color w:val="000000"/>
                <w:lang w:val="en-US" w:eastAsia="en-US"/>
              </w:rPr>
              <w:t xml:space="preserve">$ </w:t>
            </w:r>
            <w:r w:rsidR="00440D63" w:rsidRPr="003B3BE6">
              <w:rPr>
                <w:rFonts w:eastAsiaTheme="minorEastAsia"/>
                <w:color w:val="000000"/>
                <w:lang w:val="en-US" w:eastAsia="en-US"/>
              </w:rPr>
              <w:t xml:space="preserve"> </w:t>
            </w:r>
            <w:r w:rsidRPr="008D7673">
              <w:rPr>
                <w:rFonts w:eastAsiaTheme="minorEastAsia"/>
                <w:color w:val="000000"/>
                <w:lang w:val="en-US" w:eastAsia="en-US"/>
              </w:rPr>
              <w:t xml:space="preserve">     0</w:t>
            </w:r>
          </w:p>
        </w:tc>
      </w:tr>
      <w:tr w:rsidR="00440D63" w:rsidRPr="008D7673" w14:paraId="10571507" w14:textId="77777777" w:rsidTr="00440D63">
        <w:trPr>
          <w:trHeight w:val="477"/>
        </w:trPr>
        <w:tc>
          <w:tcPr>
            <w:tcW w:w="2056" w:type="dxa"/>
            <w:hideMark/>
          </w:tcPr>
          <w:p w14:paraId="6502E60F" w14:textId="77777777" w:rsidR="008D7673" w:rsidRPr="008D7673" w:rsidRDefault="008D7673" w:rsidP="00715AE0">
            <w:pPr>
              <w:rPr>
                <w:lang w:val="en-US" w:eastAsia="en-US"/>
              </w:rPr>
            </w:pPr>
            <w:r w:rsidRPr="008D7673">
              <w:rPr>
                <w:lang w:val="en-US" w:eastAsia="en-US"/>
              </w:rPr>
              <w:t>Colleges</w:t>
            </w:r>
          </w:p>
        </w:tc>
        <w:tc>
          <w:tcPr>
            <w:tcW w:w="1269" w:type="dxa"/>
            <w:hideMark/>
          </w:tcPr>
          <w:p w14:paraId="3B40B23A" w14:textId="567875AC" w:rsidR="008D7673" w:rsidRPr="008D7673" w:rsidRDefault="00156618" w:rsidP="00715AE0">
            <w:pPr>
              <w:rPr>
                <w:lang w:val="en-US" w:eastAsia="en-US"/>
              </w:rPr>
            </w:pPr>
            <w:r w:rsidRPr="008D7673">
              <w:rPr>
                <w:lang w:val="en-US" w:eastAsia="en-US"/>
              </w:rPr>
              <w:t>$ 2,250</w:t>
            </w:r>
          </w:p>
        </w:tc>
        <w:tc>
          <w:tcPr>
            <w:tcW w:w="1260" w:type="dxa"/>
            <w:hideMark/>
          </w:tcPr>
          <w:p w14:paraId="3C0240AC" w14:textId="0D3FF9AB" w:rsidR="008D7673" w:rsidRPr="008D7673" w:rsidRDefault="00156618" w:rsidP="00715AE0">
            <w:pPr>
              <w:rPr>
                <w:lang w:val="en-US" w:eastAsia="en-US"/>
              </w:rPr>
            </w:pPr>
            <w:r w:rsidRPr="008D7673">
              <w:rPr>
                <w:lang w:val="en-US" w:eastAsia="en-US"/>
              </w:rPr>
              <w:t>$ 2,250</w:t>
            </w:r>
          </w:p>
        </w:tc>
        <w:tc>
          <w:tcPr>
            <w:tcW w:w="1080" w:type="dxa"/>
            <w:hideMark/>
          </w:tcPr>
          <w:p w14:paraId="3D77EC03" w14:textId="6F6D3C25" w:rsidR="008D7673" w:rsidRPr="008D7673" w:rsidRDefault="008D7673" w:rsidP="00715AE0">
            <w:pPr>
              <w:rPr>
                <w:lang w:val="en-US" w:eastAsia="en-US"/>
              </w:rPr>
            </w:pPr>
            <w:r w:rsidRPr="008D7673">
              <w:rPr>
                <w:rFonts w:eastAsiaTheme="minorEastAsia"/>
                <w:color w:val="000000"/>
                <w:lang w:val="en-US" w:eastAsia="en-US"/>
              </w:rPr>
              <w:t>$       0</w:t>
            </w:r>
          </w:p>
        </w:tc>
        <w:tc>
          <w:tcPr>
            <w:tcW w:w="1350" w:type="dxa"/>
            <w:hideMark/>
          </w:tcPr>
          <w:p w14:paraId="3CA60DA6" w14:textId="29DD1705" w:rsidR="008D7673" w:rsidRPr="008D7673" w:rsidRDefault="00156618" w:rsidP="00715AE0">
            <w:pPr>
              <w:rPr>
                <w:lang w:val="en-US" w:eastAsia="en-US"/>
              </w:rPr>
            </w:pPr>
            <w:r w:rsidRPr="008D7673">
              <w:rPr>
                <w:lang w:val="en-US" w:eastAsia="en-US"/>
              </w:rPr>
              <w:t>$ 2,481</w:t>
            </w:r>
          </w:p>
        </w:tc>
        <w:tc>
          <w:tcPr>
            <w:tcW w:w="1260" w:type="dxa"/>
            <w:hideMark/>
          </w:tcPr>
          <w:p w14:paraId="49667BFC" w14:textId="1143DA8E" w:rsidR="008D7673" w:rsidRPr="008D7673" w:rsidRDefault="00156618" w:rsidP="00715AE0">
            <w:pPr>
              <w:rPr>
                <w:lang w:val="en-US" w:eastAsia="en-US"/>
              </w:rPr>
            </w:pPr>
            <w:r w:rsidRPr="008D7673">
              <w:rPr>
                <w:lang w:val="en-US" w:eastAsia="en-US"/>
              </w:rPr>
              <w:t>$ 2,481</w:t>
            </w:r>
          </w:p>
        </w:tc>
        <w:tc>
          <w:tcPr>
            <w:tcW w:w="1080" w:type="dxa"/>
            <w:hideMark/>
          </w:tcPr>
          <w:p w14:paraId="7BAF54D9" w14:textId="07B6CAF1" w:rsidR="008D7673" w:rsidRPr="008D7673" w:rsidRDefault="008D7673" w:rsidP="00715AE0">
            <w:pPr>
              <w:rPr>
                <w:lang w:val="en-US" w:eastAsia="en-US"/>
              </w:rPr>
            </w:pPr>
            <w:r w:rsidRPr="008D7673">
              <w:rPr>
                <w:rFonts w:eastAsiaTheme="minorEastAsia"/>
                <w:color w:val="000000"/>
                <w:lang w:val="en-US" w:eastAsia="en-US"/>
              </w:rPr>
              <w:t>$       0</w:t>
            </w:r>
          </w:p>
        </w:tc>
      </w:tr>
      <w:tr w:rsidR="00440D63" w:rsidRPr="008D7673" w14:paraId="33E7B9C7" w14:textId="77777777" w:rsidTr="00440D63">
        <w:trPr>
          <w:trHeight w:val="477"/>
        </w:trPr>
        <w:tc>
          <w:tcPr>
            <w:tcW w:w="2056" w:type="dxa"/>
            <w:hideMark/>
          </w:tcPr>
          <w:p w14:paraId="77CE5B52" w14:textId="438FB929" w:rsidR="008D7673" w:rsidRPr="008D7673" w:rsidRDefault="00440D63" w:rsidP="00715AE0">
            <w:pPr>
              <w:rPr>
                <w:lang w:val="en-US" w:eastAsia="en-US"/>
              </w:rPr>
            </w:pPr>
            <w:r>
              <w:rPr>
                <w:lang w:val="en-US" w:eastAsia="en-US"/>
              </w:rPr>
              <w:t>Other</w:t>
            </w:r>
          </w:p>
        </w:tc>
        <w:tc>
          <w:tcPr>
            <w:tcW w:w="1269" w:type="dxa"/>
            <w:hideMark/>
          </w:tcPr>
          <w:p w14:paraId="42925851" w14:textId="1D2466DA" w:rsidR="008D7673" w:rsidRPr="008D7673" w:rsidRDefault="00156618" w:rsidP="00715AE0">
            <w:pPr>
              <w:rPr>
                <w:lang w:val="en-US" w:eastAsia="en-US"/>
              </w:rPr>
            </w:pPr>
            <w:r w:rsidRPr="008D7673">
              <w:rPr>
                <w:lang w:val="en-US" w:eastAsia="en-US"/>
              </w:rPr>
              <w:t>$ 2,859</w:t>
            </w:r>
          </w:p>
        </w:tc>
        <w:tc>
          <w:tcPr>
            <w:tcW w:w="1260" w:type="dxa"/>
            <w:hideMark/>
          </w:tcPr>
          <w:p w14:paraId="0352FB43" w14:textId="11EA21D3" w:rsidR="008D7673" w:rsidRPr="008D7673" w:rsidRDefault="00156618" w:rsidP="00715AE0">
            <w:pPr>
              <w:rPr>
                <w:lang w:val="en-US" w:eastAsia="en-US"/>
              </w:rPr>
            </w:pPr>
            <w:r w:rsidRPr="008D7673">
              <w:rPr>
                <w:lang w:val="en-US" w:eastAsia="en-US"/>
              </w:rPr>
              <w:t>$ 2,859</w:t>
            </w:r>
          </w:p>
        </w:tc>
        <w:tc>
          <w:tcPr>
            <w:tcW w:w="1080" w:type="dxa"/>
            <w:hideMark/>
          </w:tcPr>
          <w:p w14:paraId="217DF908" w14:textId="785242D4" w:rsidR="008D7673" w:rsidRPr="008D7673" w:rsidRDefault="008D7673" w:rsidP="00715AE0">
            <w:pPr>
              <w:rPr>
                <w:lang w:val="en-US" w:eastAsia="en-US"/>
              </w:rPr>
            </w:pPr>
            <w:r w:rsidRPr="008D7673">
              <w:rPr>
                <w:rFonts w:eastAsiaTheme="minorEastAsia"/>
                <w:color w:val="000000"/>
                <w:lang w:val="en-US" w:eastAsia="en-US"/>
              </w:rPr>
              <w:t>$       0</w:t>
            </w:r>
          </w:p>
        </w:tc>
        <w:tc>
          <w:tcPr>
            <w:tcW w:w="1350" w:type="dxa"/>
            <w:hideMark/>
          </w:tcPr>
          <w:p w14:paraId="78C76A84" w14:textId="7D33E073" w:rsidR="008D7673" w:rsidRPr="008D7673" w:rsidRDefault="00156618" w:rsidP="00715AE0">
            <w:pPr>
              <w:rPr>
                <w:lang w:val="en-US" w:eastAsia="en-US"/>
              </w:rPr>
            </w:pPr>
            <w:r w:rsidRPr="008D7673">
              <w:rPr>
                <w:lang w:val="en-US" w:eastAsia="en-US"/>
              </w:rPr>
              <w:t>$ 3,321</w:t>
            </w:r>
          </w:p>
        </w:tc>
        <w:tc>
          <w:tcPr>
            <w:tcW w:w="1260" w:type="dxa"/>
            <w:hideMark/>
          </w:tcPr>
          <w:p w14:paraId="154E4D28" w14:textId="4EF863F0" w:rsidR="008D7673" w:rsidRPr="008D7673" w:rsidRDefault="00156618" w:rsidP="00715AE0">
            <w:pPr>
              <w:rPr>
                <w:lang w:val="en-US" w:eastAsia="en-US"/>
              </w:rPr>
            </w:pPr>
            <w:r w:rsidRPr="008D7673">
              <w:rPr>
                <w:lang w:val="en-US" w:eastAsia="en-US"/>
              </w:rPr>
              <w:t>$ 3,321</w:t>
            </w:r>
          </w:p>
        </w:tc>
        <w:tc>
          <w:tcPr>
            <w:tcW w:w="1080" w:type="dxa"/>
            <w:hideMark/>
          </w:tcPr>
          <w:p w14:paraId="77F2AD1A" w14:textId="7D2D5805" w:rsidR="008D7673" w:rsidRPr="008D7673" w:rsidRDefault="008D7673" w:rsidP="00715AE0">
            <w:pPr>
              <w:rPr>
                <w:lang w:val="en-US" w:eastAsia="en-US"/>
              </w:rPr>
            </w:pPr>
            <w:r w:rsidRPr="008D7673">
              <w:rPr>
                <w:rFonts w:eastAsiaTheme="minorEastAsia"/>
                <w:color w:val="000000"/>
                <w:lang w:val="en-US" w:eastAsia="en-US"/>
              </w:rPr>
              <w:t>$       0</w:t>
            </w:r>
          </w:p>
        </w:tc>
      </w:tr>
      <w:tr w:rsidR="00440D63" w:rsidRPr="008D7673" w14:paraId="63E4C74F" w14:textId="77777777" w:rsidTr="00440D63">
        <w:trPr>
          <w:trHeight w:val="477"/>
        </w:trPr>
        <w:tc>
          <w:tcPr>
            <w:tcW w:w="2056" w:type="dxa"/>
            <w:hideMark/>
          </w:tcPr>
          <w:p w14:paraId="5BCEE088" w14:textId="77777777" w:rsidR="008D7673" w:rsidRPr="00715AE0" w:rsidRDefault="008D7673" w:rsidP="00715AE0">
            <w:pPr>
              <w:rPr>
                <w:b/>
                <w:bCs/>
                <w:lang w:val="en-US" w:eastAsia="en-US"/>
              </w:rPr>
            </w:pPr>
            <w:r w:rsidRPr="00715AE0">
              <w:rPr>
                <w:b/>
                <w:bCs/>
                <w:lang w:val="en-US" w:eastAsia="en-US"/>
              </w:rPr>
              <w:t>Total Ancillary Operations Funded Primarily by Student Fees</w:t>
            </w:r>
          </w:p>
        </w:tc>
        <w:tc>
          <w:tcPr>
            <w:tcW w:w="1269" w:type="dxa"/>
            <w:hideMark/>
          </w:tcPr>
          <w:p w14:paraId="2A88A80F" w14:textId="77777777" w:rsidR="008D7673" w:rsidRPr="008D7673" w:rsidRDefault="008D7673" w:rsidP="00715AE0">
            <w:pPr>
              <w:rPr>
                <w:lang w:val="en-US" w:eastAsia="en-US"/>
              </w:rPr>
            </w:pPr>
            <w:r w:rsidRPr="008D7673">
              <w:rPr>
                <w:b/>
                <w:bCs/>
                <w:lang w:val="en-US" w:eastAsia="en-US"/>
              </w:rPr>
              <w:t>$28,584</w:t>
            </w:r>
          </w:p>
        </w:tc>
        <w:tc>
          <w:tcPr>
            <w:tcW w:w="1260" w:type="dxa"/>
            <w:hideMark/>
          </w:tcPr>
          <w:p w14:paraId="57A41B71" w14:textId="77777777" w:rsidR="008D7673" w:rsidRPr="008D7673" w:rsidRDefault="008D7673" w:rsidP="00715AE0">
            <w:pPr>
              <w:rPr>
                <w:lang w:val="en-US" w:eastAsia="en-US"/>
              </w:rPr>
            </w:pPr>
            <w:r w:rsidRPr="008D7673">
              <w:rPr>
                <w:b/>
                <w:bCs/>
                <w:lang w:val="en-US" w:eastAsia="en-US"/>
              </w:rPr>
              <w:t>$28,649</w:t>
            </w:r>
          </w:p>
        </w:tc>
        <w:tc>
          <w:tcPr>
            <w:tcW w:w="1080" w:type="dxa"/>
            <w:hideMark/>
          </w:tcPr>
          <w:p w14:paraId="4DBDAFA4" w14:textId="6159F81B" w:rsidR="008D7673" w:rsidRPr="008D7673" w:rsidRDefault="00156618" w:rsidP="00715AE0">
            <w:pPr>
              <w:rPr>
                <w:lang w:val="en-US" w:eastAsia="en-US"/>
              </w:rPr>
            </w:pPr>
            <w:r w:rsidRPr="008D7673">
              <w:rPr>
                <w:b/>
                <w:bCs/>
                <w:lang w:val="en-US" w:eastAsia="en-US"/>
              </w:rPr>
              <w:t>$ (</w:t>
            </w:r>
            <w:r w:rsidR="008D7673" w:rsidRPr="008D7673">
              <w:rPr>
                <w:b/>
                <w:bCs/>
                <w:lang w:val="en-US" w:eastAsia="en-US"/>
              </w:rPr>
              <w:t>65)</w:t>
            </w:r>
          </w:p>
        </w:tc>
        <w:tc>
          <w:tcPr>
            <w:tcW w:w="1350" w:type="dxa"/>
            <w:hideMark/>
          </w:tcPr>
          <w:p w14:paraId="01080E82" w14:textId="77777777" w:rsidR="008D7673" w:rsidRPr="008D7673" w:rsidRDefault="008D7673" w:rsidP="00715AE0">
            <w:pPr>
              <w:rPr>
                <w:lang w:val="en-US" w:eastAsia="en-US"/>
              </w:rPr>
            </w:pPr>
            <w:r w:rsidRPr="008D7673">
              <w:rPr>
                <w:b/>
                <w:bCs/>
                <w:lang w:val="en-US" w:eastAsia="en-US"/>
              </w:rPr>
              <w:t>$30,365</w:t>
            </w:r>
          </w:p>
        </w:tc>
        <w:tc>
          <w:tcPr>
            <w:tcW w:w="1260" w:type="dxa"/>
            <w:hideMark/>
          </w:tcPr>
          <w:p w14:paraId="2D21423B" w14:textId="77777777" w:rsidR="008D7673" w:rsidRPr="008D7673" w:rsidRDefault="008D7673" w:rsidP="00715AE0">
            <w:pPr>
              <w:rPr>
                <w:lang w:val="en-US" w:eastAsia="en-US"/>
              </w:rPr>
            </w:pPr>
            <w:r w:rsidRPr="008D7673">
              <w:rPr>
                <w:b/>
                <w:bCs/>
                <w:lang w:val="en-US" w:eastAsia="en-US"/>
              </w:rPr>
              <w:t>$30,343</w:t>
            </w:r>
          </w:p>
        </w:tc>
        <w:tc>
          <w:tcPr>
            <w:tcW w:w="1080" w:type="dxa"/>
            <w:hideMark/>
          </w:tcPr>
          <w:p w14:paraId="6FF6A354" w14:textId="2F45B44F" w:rsidR="008D7673" w:rsidRPr="008D7673" w:rsidRDefault="008D7673" w:rsidP="00715AE0">
            <w:pPr>
              <w:rPr>
                <w:lang w:val="en-US" w:eastAsia="en-US"/>
              </w:rPr>
            </w:pPr>
            <w:r w:rsidRPr="008D7673">
              <w:rPr>
                <w:b/>
                <w:bCs/>
                <w:lang w:val="en-US" w:eastAsia="en-US"/>
              </w:rPr>
              <w:t xml:space="preserve">$    </w:t>
            </w:r>
            <w:r w:rsidR="00440D63" w:rsidRPr="003B3BE6">
              <w:rPr>
                <w:b/>
                <w:bCs/>
                <w:lang w:val="en-US" w:eastAsia="en-US"/>
              </w:rPr>
              <w:t xml:space="preserve"> </w:t>
            </w:r>
            <w:r w:rsidRPr="008D7673">
              <w:rPr>
                <w:b/>
                <w:bCs/>
                <w:lang w:val="en-US" w:eastAsia="en-US"/>
              </w:rPr>
              <w:t>22</w:t>
            </w:r>
          </w:p>
        </w:tc>
      </w:tr>
      <w:tr w:rsidR="00440D63" w:rsidRPr="008D7673" w14:paraId="3D0750BE" w14:textId="77777777" w:rsidTr="00440D63">
        <w:trPr>
          <w:trHeight w:val="477"/>
        </w:trPr>
        <w:tc>
          <w:tcPr>
            <w:tcW w:w="2056" w:type="dxa"/>
            <w:hideMark/>
          </w:tcPr>
          <w:p w14:paraId="028FF2AE" w14:textId="77777777" w:rsidR="008D7673" w:rsidRPr="00715AE0" w:rsidRDefault="008D7673" w:rsidP="00715AE0">
            <w:pPr>
              <w:rPr>
                <w:b/>
                <w:bCs/>
                <w:lang w:val="en-US" w:eastAsia="en-US"/>
              </w:rPr>
            </w:pPr>
            <w:r w:rsidRPr="00715AE0">
              <w:rPr>
                <w:b/>
                <w:bCs/>
                <w:lang w:val="en-US" w:eastAsia="en-US"/>
              </w:rPr>
              <w:t>Ancillary Operations Contributing to Operating Fund</w:t>
            </w:r>
          </w:p>
          <w:p w14:paraId="675DBFAC" w14:textId="72174EA8" w:rsidR="008D7673" w:rsidRPr="00715AE0" w:rsidRDefault="008D7673" w:rsidP="00715AE0">
            <w:pPr>
              <w:rPr>
                <w:lang w:val="en-US" w:eastAsia="en-US"/>
              </w:rPr>
            </w:pPr>
            <w:r w:rsidRPr="00715AE0">
              <w:rPr>
                <w:lang w:val="en-US" w:eastAsia="en-US"/>
              </w:rPr>
              <w:t>Campus Store, Print Shop, ESL, Conferences</w:t>
            </w:r>
            <w:r w:rsidR="00440D63" w:rsidRPr="00715AE0">
              <w:rPr>
                <w:lang w:val="en-US" w:eastAsia="en-US"/>
              </w:rPr>
              <w:t xml:space="preserve"> and </w:t>
            </w:r>
            <w:r w:rsidRPr="00715AE0">
              <w:rPr>
                <w:lang w:val="en-US" w:eastAsia="en-US"/>
              </w:rPr>
              <w:t>Catering, Starbucks</w:t>
            </w:r>
          </w:p>
        </w:tc>
        <w:tc>
          <w:tcPr>
            <w:tcW w:w="1269" w:type="dxa"/>
            <w:hideMark/>
          </w:tcPr>
          <w:p w14:paraId="128F07C0" w14:textId="77777777" w:rsidR="008D7673" w:rsidRPr="008D7673" w:rsidRDefault="008D7673" w:rsidP="00715AE0">
            <w:pPr>
              <w:rPr>
                <w:lang w:val="en-US" w:eastAsia="en-US"/>
              </w:rPr>
            </w:pPr>
          </w:p>
        </w:tc>
        <w:tc>
          <w:tcPr>
            <w:tcW w:w="1260" w:type="dxa"/>
            <w:hideMark/>
          </w:tcPr>
          <w:p w14:paraId="14290833" w14:textId="77777777" w:rsidR="008D7673" w:rsidRPr="008D7673" w:rsidRDefault="008D7673" w:rsidP="00715AE0">
            <w:pPr>
              <w:rPr>
                <w:lang w:val="en-US" w:eastAsia="en-US"/>
              </w:rPr>
            </w:pPr>
          </w:p>
        </w:tc>
        <w:tc>
          <w:tcPr>
            <w:tcW w:w="1080" w:type="dxa"/>
            <w:hideMark/>
          </w:tcPr>
          <w:p w14:paraId="052C4FE4" w14:textId="14412312" w:rsidR="008D7673" w:rsidRPr="008D7673" w:rsidRDefault="00156618" w:rsidP="00715AE0">
            <w:pPr>
              <w:rPr>
                <w:lang w:val="en-US" w:eastAsia="en-US"/>
              </w:rPr>
            </w:pPr>
            <w:r w:rsidRPr="008D7673">
              <w:rPr>
                <w:b/>
                <w:bCs/>
                <w:lang w:val="en-US" w:eastAsia="en-US"/>
              </w:rPr>
              <w:t>$ 275</w:t>
            </w:r>
          </w:p>
        </w:tc>
        <w:tc>
          <w:tcPr>
            <w:tcW w:w="1350" w:type="dxa"/>
            <w:hideMark/>
          </w:tcPr>
          <w:p w14:paraId="10019C9F" w14:textId="77777777" w:rsidR="008D7673" w:rsidRPr="008D7673" w:rsidRDefault="008D7673" w:rsidP="00715AE0">
            <w:pPr>
              <w:rPr>
                <w:lang w:val="en-US" w:eastAsia="en-US"/>
              </w:rPr>
            </w:pPr>
          </w:p>
        </w:tc>
        <w:tc>
          <w:tcPr>
            <w:tcW w:w="1260" w:type="dxa"/>
            <w:hideMark/>
          </w:tcPr>
          <w:p w14:paraId="28E23B7B" w14:textId="77777777" w:rsidR="008D7673" w:rsidRPr="008D7673" w:rsidRDefault="008D7673" w:rsidP="00715AE0">
            <w:pPr>
              <w:rPr>
                <w:lang w:val="en-US" w:eastAsia="en-US"/>
              </w:rPr>
            </w:pPr>
          </w:p>
        </w:tc>
        <w:tc>
          <w:tcPr>
            <w:tcW w:w="1080" w:type="dxa"/>
            <w:hideMark/>
          </w:tcPr>
          <w:p w14:paraId="0A10AE9C" w14:textId="39893403" w:rsidR="008D7673" w:rsidRPr="008D7673" w:rsidRDefault="008D7673" w:rsidP="00715AE0">
            <w:pPr>
              <w:rPr>
                <w:lang w:val="en-US" w:eastAsia="en-US"/>
              </w:rPr>
            </w:pPr>
            <w:r w:rsidRPr="008D7673">
              <w:rPr>
                <w:b/>
                <w:bCs/>
                <w:lang w:val="en-US" w:eastAsia="en-US"/>
              </w:rPr>
              <w:t>$   363</w:t>
            </w:r>
          </w:p>
        </w:tc>
      </w:tr>
      <w:tr w:rsidR="00440D63" w:rsidRPr="008D7673" w14:paraId="59F09ABC" w14:textId="77777777" w:rsidTr="00440D63">
        <w:trPr>
          <w:trHeight w:val="477"/>
        </w:trPr>
        <w:tc>
          <w:tcPr>
            <w:tcW w:w="4585" w:type="dxa"/>
            <w:gridSpan w:val="3"/>
            <w:hideMark/>
          </w:tcPr>
          <w:p w14:paraId="7170FE42" w14:textId="77777777" w:rsidR="00440D63" w:rsidRPr="00715AE0" w:rsidRDefault="00440D63" w:rsidP="00156618">
            <w:pPr>
              <w:rPr>
                <w:b/>
                <w:bCs/>
                <w:lang w:val="en-US" w:eastAsia="en-US"/>
              </w:rPr>
            </w:pPr>
            <w:r w:rsidRPr="00715AE0">
              <w:rPr>
                <w:b/>
                <w:bCs/>
                <w:lang w:val="en-US" w:eastAsia="en-US"/>
              </w:rPr>
              <w:t xml:space="preserve">TOTAL CONTRIBUTION TO </w:t>
            </w:r>
          </w:p>
          <w:p w14:paraId="53AD4A2C" w14:textId="16D70F82" w:rsidR="00440D63" w:rsidRPr="00715AE0" w:rsidRDefault="00440D63" w:rsidP="00156618">
            <w:pPr>
              <w:rPr>
                <w:b/>
                <w:bCs/>
                <w:lang w:val="en-US" w:eastAsia="en-US"/>
              </w:rPr>
            </w:pPr>
            <w:r w:rsidRPr="00715AE0">
              <w:rPr>
                <w:b/>
                <w:bCs/>
                <w:lang w:val="en-US" w:eastAsia="en-US"/>
              </w:rPr>
              <w:t>OPERATING BUDGET</w:t>
            </w:r>
          </w:p>
        </w:tc>
        <w:tc>
          <w:tcPr>
            <w:tcW w:w="1080" w:type="dxa"/>
            <w:hideMark/>
          </w:tcPr>
          <w:p w14:paraId="3A0351F3" w14:textId="563A77CD" w:rsidR="00440D63" w:rsidRPr="00715AE0" w:rsidRDefault="00156618" w:rsidP="00156618">
            <w:pPr>
              <w:rPr>
                <w:b/>
                <w:bCs/>
                <w:lang w:val="en-US" w:eastAsia="en-US"/>
              </w:rPr>
            </w:pPr>
            <w:r w:rsidRPr="00715AE0">
              <w:rPr>
                <w:b/>
                <w:bCs/>
                <w:lang w:val="en-US" w:eastAsia="en-US"/>
              </w:rPr>
              <w:t>$ 210</w:t>
            </w:r>
          </w:p>
        </w:tc>
        <w:tc>
          <w:tcPr>
            <w:tcW w:w="1350" w:type="dxa"/>
            <w:hideMark/>
          </w:tcPr>
          <w:p w14:paraId="2C6BBA8F" w14:textId="77777777" w:rsidR="00440D63" w:rsidRPr="008D7673" w:rsidRDefault="00440D63" w:rsidP="00156618">
            <w:pPr>
              <w:rPr>
                <w:lang w:val="en-US" w:eastAsia="en-US"/>
              </w:rPr>
            </w:pPr>
          </w:p>
        </w:tc>
        <w:tc>
          <w:tcPr>
            <w:tcW w:w="1260" w:type="dxa"/>
            <w:hideMark/>
          </w:tcPr>
          <w:p w14:paraId="3BE0CD47" w14:textId="77777777" w:rsidR="00440D63" w:rsidRPr="008D7673" w:rsidRDefault="00440D63" w:rsidP="00876685">
            <w:pPr>
              <w:rPr>
                <w:rFonts w:ascii="Arial" w:hAnsi="Arial" w:cs="Arial"/>
                <w:lang w:val="en-US" w:eastAsia="en-US"/>
              </w:rPr>
            </w:pPr>
          </w:p>
        </w:tc>
        <w:tc>
          <w:tcPr>
            <w:tcW w:w="1080" w:type="dxa"/>
            <w:hideMark/>
          </w:tcPr>
          <w:p w14:paraId="3A2FE1A7" w14:textId="08EA2344" w:rsidR="00440D63" w:rsidRPr="00715AE0" w:rsidRDefault="00440D63" w:rsidP="00715AE0">
            <w:pPr>
              <w:rPr>
                <w:b/>
                <w:bCs/>
                <w:lang w:val="en-US" w:eastAsia="en-US"/>
              </w:rPr>
            </w:pPr>
            <w:r w:rsidRPr="00715AE0">
              <w:rPr>
                <w:b/>
                <w:bCs/>
                <w:lang w:val="en-US" w:eastAsia="en-US"/>
              </w:rPr>
              <w:t>$   385</w:t>
            </w:r>
          </w:p>
        </w:tc>
      </w:tr>
    </w:tbl>
    <w:p w14:paraId="1316FFF4" w14:textId="0714FC68" w:rsidR="00715AE0" w:rsidRDefault="003E2067" w:rsidP="00715AE0">
      <w:pPr>
        <w:pStyle w:val="Heading1"/>
        <w:rPr>
          <w:b/>
          <w:bCs/>
          <w:color w:val="385623" w:themeColor="accent6" w:themeShade="80"/>
        </w:rPr>
      </w:pPr>
      <w:r w:rsidRPr="00715AE0">
        <w:rPr>
          <w:b/>
          <w:bCs/>
          <w:color w:val="385623" w:themeColor="accent6" w:themeShade="80"/>
        </w:rPr>
        <w:lastRenderedPageBreak/>
        <w:t>CAPITAL</w:t>
      </w:r>
      <w:r w:rsidR="0072080D" w:rsidRPr="00715AE0">
        <w:rPr>
          <w:b/>
          <w:bCs/>
          <w:color w:val="385623" w:themeColor="accent6" w:themeShade="80"/>
        </w:rPr>
        <w:t xml:space="preserve"> PLANNING</w:t>
      </w:r>
    </w:p>
    <w:p w14:paraId="4B23D927" w14:textId="77777777" w:rsidR="00715AE0" w:rsidRPr="00715AE0" w:rsidRDefault="00715AE0" w:rsidP="00715AE0"/>
    <w:p w14:paraId="79E0070D" w14:textId="678DEE49" w:rsidR="00C36B47" w:rsidRPr="002626D1" w:rsidRDefault="00840A53" w:rsidP="00876685">
      <w:r w:rsidRPr="002626D1">
        <w:t>Trent University</w:t>
      </w:r>
      <w:r w:rsidR="00037E75" w:rsidRPr="002626D1">
        <w:t xml:space="preserve"> has several capital projects currently underway or in development.  The following </w:t>
      </w:r>
      <w:r w:rsidR="004C79A3" w:rsidRPr="002626D1">
        <w:t xml:space="preserve">provides </w:t>
      </w:r>
      <w:r w:rsidR="00037E75" w:rsidRPr="002626D1">
        <w:t xml:space="preserve">highlights </w:t>
      </w:r>
      <w:r w:rsidR="004C79A3" w:rsidRPr="002626D1">
        <w:t xml:space="preserve">of </w:t>
      </w:r>
      <w:r w:rsidR="00037E75" w:rsidRPr="002626D1">
        <w:t>the major projects.</w:t>
      </w:r>
    </w:p>
    <w:p w14:paraId="177BE949" w14:textId="7CD6F8D2" w:rsidR="00037E75" w:rsidRDefault="00037E75" w:rsidP="00715AE0">
      <w:pPr>
        <w:pStyle w:val="Heading2"/>
        <w:rPr>
          <w:b/>
          <w:bCs/>
          <w:color w:val="5B9BD5" w:themeColor="accent1"/>
        </w:rPr>
      </w:pPr>
      <w:r w:rsidRPr="00715AE0">
        <w:rPr>
          <w:b/>
          <w:bCs/>
        </w:rPr>
        <w:t>Deferred Maintenance</w:t>
      </w:r>
    </w:p>
    <w:p w14:paraId="5E147AB0" w14:textId="77777777" w:rsidR="00715AE0" w:rsidRPr="00715AE0" w:rsidRDefault="00715AE0" w:rsidP="00715AE0"/>
    <w:p w14:paraId="6D7ABCB5" w14:textId="77777777" w:rsidR="008531B5" w:rsidRDefault="00037E75" w:rsidP="00876685">
      <w:r w:rsidRPr="002626D1">
        <w:t xml:space="preserve">The University receives funding under the Facilities Renewal Program to address deferred maintenance.  During 2016/2017 and 2017/2018, this grant </w:t>
      </w:r>
      <w:r w:rsidR="00F6449B">
        <w:t>was</w:t>
      </w:r>
      <w:r w:rsidRPr="002626D1">
        <w:t xml:space="preserve"> mostly diverted to the Bata Library Transformation project</w:t>
      </w:r>
      <w:r w:rsidR="001D6720">
        <w:t>, which addressed over $5 million in deferred maintenance</w:t>
      </w:r>
      <w:r w:rsidRPr="002626D1">
        <w:t xml:space="preserve">.  </w:t>
      </w:r>
      <w:r w:rsidR="0063195F">
        <w:t>In 2018/2019, t</w:t>
      </w:r>
      <w:r w:rsidRPr="002626D1">
        <w:t xml:space="preserve">he University </w:t>
      </w:r>
      <w:r w:rsidR="0063195F">
        <w:t xml:space="preserve">received $747,300 to be spent on </w:t>
      </w:r>
      <w:r w:rsidR="008531B5">
        <w:t xml:space="preserve">Ministry-approved </w:t>
      </w:r>
      <w:r w:rsidR="0063195F">
        <w:t>deferred maintena</w:t>
      </w:r>
      <w:r w:rsidR="001D6720">
        <w:t xml:space="preserve">nce </w:t>
      </w:r>
      <w:r w:rsidR="008531B5">
        <w:t xml:space="preserve">and campus safety </w:t>
      </w:r>
      <w:r w:rsidR="001D6720">
        <w:t xml:space="preserve">projects by </w:t>
      </w:r>
      <w:r w:rsidR="008531B5">
        <w:t>September 30,</w:t>
      </w:r>
      <w:r w:rsidR="001D6720">
        <w:t xml:space="preserve"> 2019.  </w:t>
      </w:r>
    </w:p>
    <w:p w14:paraId="3B3E02C9" w14:textId="0AC9742E" w:rsidR="00037E75" w:rsidRPr="002626D1" w:rsidRDefault="0063195F" w:rsidP="00876685">
      <w:r>
        <w:t xml:space="preserve">Based on </w:t>
      </w:r>
      <w:r w:rsidR="001D6720">
        <w:t>its</w:t>
      </w:r>
      <w:r>
        <w:t xml:space="preserve"> communication on April 12, 2019, the Ministry is reducing the </w:t>
      </w:r>
      <w:r w:rsidR="001D6720">
        <w:t xml:space="preserve">2019/2020 </w:t>
      </w:r>
      <w:r>
        <w:t>Facilities Renewal Program funding by 11% and is revie</w:t>
      </w:r>
      <w:r w:rsidR="00F6449B">
        <w:t xml:space="preserve">wing the allocation mechanism.  </w:t>
      </w:r>
      <w:r w:rsidR="001D6720">
        <w:t xml:space="preserve">As a result, the University is anticipating a decrease in this funding, and </w:t>
      </w:r>
      <w:r w:rsidR="00037E75" w:rsidRPr="002626D1">
        <w:t xml:space="preserve">will be reviewing its capital assets and reassessing deferred maintenance needs </w:t>
      </w:r>
      <w:r w:rsidR="0004606D">
        <w:t>accordingly</w:t>
      </w:r>
      <w:r w:rsidR="00037E75" w:rsidRPr="002626D1">
        <w:t xml:space="preserve">.  In the interim, a significant portion of identified deferred maintenance will be addressed through the Energy Performance Contract </w:t>
      </w:r>
      <w:r w:rsidR="001D6720">
        <w:t xml:space="preserve">and the </w:t>
      </w:r>
      <w:r w:rsidR="00F6449B">
        <w:t xml:space="preserve">Peterborough </w:t>
      </w:r>
      <w:r w:rsidR="001D6720">
        <w:t xml:space="preserve">Housing Strategy </w:t>
      </w:r>
      <w:r w:rsidR="00037E75" w:rsidRPr="002626D1">
        <w:t xml:space="preserve">described below.  </w:t>
      </w:r>
    </w:p>
    <w:p w14:paraId="3EC54AD3" w14:textId="04DAB560" w:rsidR="00F6449B" w:rsidRDefault="00F6449B" w:rsidP="00876685">
      <w:pPr>
        <w:pStyle w:val="Heading2"/>
        <w:rPr>
          <w:b/>
          <w:bCs/>
        </w:rPr>
      </w:pPr>
      <w:r w:rsidRPr="00715AE0">
        <w:rPr>
          <w:b/>
          <w:bCs/>
        </w:rPr>
        <w:t>Energy Performance Contract</w:t>
      </w:r>
    </w:p>
    <w:p w14:paraId="556CE68F" w14:textId="77777777" w:rsidR="00E67E5E" w:rsidRPr="00E67E5E" w:rsidRDefault="00E67E5E" w:rsidP="00E67E5E"/>
    <w:p w14:paraId="31D4576C" w14:textId="7A94B83E" w:rsidR="00F6449B" w:rsidRDefault="00F6449B" w:rsidP="00876685">
      <w:r w:rsidRPr="002626D1">
        <w:t>The Energy Performance Contract currently underway includes a variety of initiatives designed to improve energy performance and savings across the University campus, as well as addressing over $5.0 million in deferred maintenance.  The total estimated cost of the contract is $15.5 million.  Energy savings will be used to finance the project</w:t>
      </w:r>
      <w:r>
        <w:t xml:space="preserve"> over the next ten years</w:t>
      </w:r>
      <w:r w:rsidRPr="002626D1">
        <w:t xml:space="preserve">.  Substantial completion is </w:t>
      </w:r>
      <w:r>
        <w:t xml:space="preserve">now </w:t>
      </w:r>
      <w:r w:rsidRPr="002626D1">
        <w:t xml:space="preserve">expected by </w:t>
      </w:r>
      <w:r w:rsidR="00876685">
        <w:t>September</w:t>
      </w:r>
      <w:r w:rsidRPr="002626D1">
        <w:t xml:space="preserve"> 201</w:t>
      </w:r>
      <w:r>
        <w:t>9</w:t>
      </w:r>
      <w:r w:rsidRPr="002626D1">
        <w:t>.</w:t>
      </w:r>
    </w:p>
    <w:p w14:paraId="51327BD4" w14:textId="4DD5EF1D" w:rsidR="00BC58A3" w:rsidRDefault="00BC58A3" w:rsidP="00715AE0">
      <w:pPr>
        <w:pStyle w:val="Heading2"/>
        <w:rPr>
          <w:b/>
          <w:bCs/>
        </w:rPr>
      </w:pPr>
      <w:r w:rsidRPr="00715AE0">
        <w:rPr>
          <w:b/>
          <w:bCs/>
        </w:rPr>
        <w:t>Durham Campus Expansion Project</w:t>
      </w:r>
    </w:p>
    <w:p w14:paraId="23430C58" w14:textId="77777777" w:rsidR="00E67E5E" w:rsidRPr="00E67E5E" w:rsidRDefault="00E67E5E" w:rsidP="00E67E5E"/>
    <w:p w14:paraId="2AE946C5" w14:textId="13EDA653" w:rsidR="001D6720" w:rsidRDefault="00BC58A3" w:rsidP="00876685">
      <w:r>
        <w:t>With much of Trent’s student enrolment growth expected in Trent Durham – GTA, one of the Board of Governor’s strategic objectives is to enhance the facilities for students at the Trent Durham campus</w:t>
      </w:r>
      <w:r w:rsidRPr="002626D1">
        <w:t>.</w:t>
      </w:r>
      <w:r>
        <w:t xml:space="preserve">  Phase I of the expansion</w:t>
      </w:r>
      <w:r w:rsidR="001D6720">
        <w:t xml:space="preserve"> involves construction of a new multi</w:t>
      </w:r>
      <w:r>
        <w:t xml:space="preserve">-storey building located on land gifted to Trent University by the City of Oshawa.  The new building will have capacity for 200 student residence beds, as well as academic space including classroom space, faculty and research offices, and student space.  </w:t>
      </w:r>
    </w:p>
    <w:p w14:paraId="18C54876" w14:textId="588A04E0" w:rsidR="00BC58A3" w:rsidRDefault="001D6720" w:rsidP="00876685">
      <w:r>
        <w:t xml:space="preserve">In June 2019, the University </w:t>
      </w:r>
      <w:proofErr w:type="gramStart"/>
      <w:r>
        <w:t>entered into</w:t>
      </w:r>
      <w:proofErr w:type="gramEnd"/>
      <w:r>
        <w:t xml:space="preserve"> a lease arrangement with </w:t>
      </w:r>
      <w:r w:rsidR="00445587">
        <w:t xml:space="preserve">a third party </w:t>
      </w:r>
      <w:r>
        <w:t>to construct</w:t>
      </w:r>
      <w:r w:rsidR="00D9395F">
        <w:t>, finance</w:t>
      </w:r>
      <w:r>
        <w:t xml:space="preserve"> and operate the new building.  Substantial completion </w:t>
      </w:r>
      <w:r w:rsidR="00445587">
        <w:t xml:space="preserve">and occupancy </w:t>
      </w:r>
      <w:proofErr w:type="gramStart"/>
      <w:r>
        <w:t>is</w:t>
      </w:r>
      <w:proofErr w:type="gramEnd"/>
      <w:r>
        <w:t xml:space="preserve"> expected by September 2020.  </w:t>
      </w:r>
      <w:r w:rsidR="00445587">
        <w:lastRenderedPageBreak/>
        <w:t>The third party</w:t>
      </w:r>
      <w:r w:rsidR="00D9395F">
        <w:t xml:space="preserve"> will be responsible for the construction and operating costs of the residence space within the new building.  </w:t>
      </w:r>
      <w:r>
        <w:t>The University</w:t>
      </w:r>
      <w:r w:rsidR="00D9395F">
        <w:t xml:space="preserve"> will be responsible for the construction and operating costs of the academic space within the new building.  Trent’s one-time </w:t>
      </w:r>
      <w:r>
        <w:t xml:space="preserve">investment </w:t>
      </w:r>
      <w:r w:rsidR="00D9395F">
        <w:t xml:space="preserve">for the </w:t>
      </w:r>
      <w:r>
        <w:t xml:space="preserve">new academic space is </w:t>
      </w:r>
      <w:r w:rsidR="00D9395F">
        <w:t xml:space="preserve">estimated at </w:t>
      </w:r>
      <w:r>
        <w:t>$11.2 million.</w:t>
      </w:r>
      <w:r w:rsidR="00D9395F">
        <w:t xml:space="preserve">  </w:t>
      </w:r>
    </w:p>
    <w:p w14:paraId="130834D6" w14:textId="77777777" w:rsidR="00876685" w:rsidRDefault="00D9395F" w:rsidP="00F6449B">
      <w:pPr>
        <w:spacing w:after="240"/>
        <w:jc w:val="both"/>
      </w:pPr>
      <w:r w:rsidRPr="00876685">
        <w:t>In addition to the new building, the main building will be renovated to include improved food services to service students in residence as well as other students, faculty, staff and</w:t>
      </w:r>
      <w:r>
        <w:rPr>
          <w:rFonts w:ascii="Arial" w:hAnsi="Arial" w:cs="Arial"/>
          <w:color w:val="000000" w:themeColor="text1"/>
          <w:sz w:val="24"/>
          <w:szCs w:val="24"/>
        </w:rPr>
        <w:t xml:space="preserve"> </w:t>
      </w:r>
      <w:r w:rsidRPr="00876685">
        <w:t xml:space="preserve">public.  </w:t>
      </w:r>
    </w:p>
    <w:p w14:paraId="51B540CC" w14:textId="366D1D42" w:rsidR="00D9395F" w:rsidRDefault="00D9395F" w:rsidP="00876685">
      <w:r w:rsidRPr="00876685">
        <w:t>The University</w:t>
      </w:r>
      <w:r>
        <w:t xml:space="preserve"> estimates its one-time investment in these renovations will be approximately $2.15 million to $2.5 million.  Substantial completion is also planned for Fall 2020.</w:t>
      </w:r>
    </w:p>
    <w:p w14:paraId="267F5A9B" w14:textId="50381ECB" w:rsidR="00FF683C" w:rsidRDefault="00FF683C" w:rsidP="00876685">
      <w:pPr>
        <w:pStyle w:val="Heading2"/>
        <w:rPr>
          <w:b/>
          <w:bCs/>
          <w:color w:val="5B9BD5" w:themeColor="accent1"/>
        </w:rPr>
      </w:pPr>
      <w:r w:rsidRPr="00715AE0">
        <w:rPr>
          <w:b/>
          <w:bCs/>
        </w:rPr>
        <w:t xml:space="preserve">Peterborough Housing Strategy </w:t>
      </w:r>
    </w:p>
    <w:p w14:paraId="1402297D" w14:textId="77777777" w:rsidR="00715AE0" w:rsidRPr="00715AE0" w:rsidRDefault="00715AE0" w:rsidP="00715AE0"/>
    <w:p w14:paraId="7EC3B9EE" w14:textId="633646F2" w:rsidR="00FF683C" w:rsidRDefault="00F6449B" w:rsidP="00876685">
      <w:r w:rsidRPr="00F6449B">
        <w:t xml:space="preserve">Housing Services is developing a </w:t>
      </w:r>
      <w:r w:rsidR="00A75C6B">
        <w:t>Peterborough H</w:t>
      </w:r>
      <w:r w:rsidRPr="00F6449B">
        <w:t xml:space="preserve">ousing </w:t>
      </w:r>
      <w:r w:rsidR="00A75C6B">
        <w:t>S</w:t>
      </w:r>
      <w:r w:rsidRPr="00F6449B">
        <w:t>trategy to further align the housing program to the University’s strategic objectives, meet growing demand</w:t>
      </w:r>
      <w:r w:rsidR="00445587">
        <w:t xml:space="preserve"> based on current enrolment projections</w:t>
      </w:r>
      <w:r w:rsidRPr="00F6449B">
        <w:t>, and enhance the student experience</w:t>
      </w:r>
      <w:r w:rsidR="0033178B">
        <w:t xml:space="preserve"> by bringing more students onto the core campus</w:t>
      </w:r>
      <w:r w:rsidRPr="00F6449B">
        <w:t xml:space="preserve"> </w:t>
      </w:r>
      <w:r w:rsidR="00445587">
        <w:t xml:space="preserve">at its Peterborough locations.  A </w:t>
      </w:r>
      <w:r w:rsidRPr="00F6449B">
        <w:t xml:space="preserve">recent market and demand analysis indicates the need for approximately 700 new residence beds at the Symons campus and </w:t>
      </w:r>
      <w:r w:rsidR="00876685" w:rsidRPr="00F6449B">
        <w:t>Trail</w:t>
      </w:r>
      <w:r w:rsidRPr="00F6449B">
        <w:t xml:space="preserve"> college, as well as significant renovat</w:t>
      </w:r>
      <w:r w:rsidR="00445587">
        <w:t>ions to the existing residences</w:t>
      </w:r>
      <w:r w:rsidR="00176561">
        <w:t xml:space="preserve"> to address deferred </w:t>
      </w:r>
      <w:r w:rsidR="00876685">
        <w:t>maintenance and</w:t>
      </w:r>
      <w:r w:rsidR="00445587">
        <w:t xml:space="preserve"> suggests a sequenced strat</w:t>
      </w:r>
      <w:r w:rsidR="00A75C6B">
        <w:t>egy over a period of 10 years.</w:t>
      </w:r>
    </w:p>
    <w:p w14:paraId="3B49B51B" w14:textId="661FDC94" w:rsidR="00A75C6B" w:rsidRPr="00F6449B" w:rsidRDefault="00A75C6B" w:rsidP="00876685">
      <w:r>
        <w:t xml:space="preserve">The University is currently in the process of developing a facilities development plan, including a functional program for the recommended new residence beds and associated academic and student space that reflects the University’s identity as a collegiate university.  </w:t>
      </w:r>
      <w:r w:rsidR="0033178B">
        <w:t>In addition, the University is developing a financial strategy that will best meet the University’s financing goals based on the examination of all possible financing arrangements for the Housing Strategy.  It is anticipated that the University’s contribution towards this significant capital refresh will come from ancillary operating and reserve funds.</w:t>
      </w:r>
    </w:p>
    <w:p w14:paraId="32C1C457" w14:textId="31FE6EC9" w:rsidR="0081270F" w:rsidRDefault="00BC58A3" w:rsidP="00876685">
      <w:pPr>
        <w:pStyle w:val="Heading2"/>
        <w:rPr>
          <w:b/>
          <w:bCs/>
          <w:color w:val="5B9BD5" w:themeColor="accent1"/>
        </w:rPr>
      </w:pPr>
      <w:r w:rsidRPr="00715AE0">
        <w:rPr>
          <w:b/>
          <w:bCs/>
        </w:rPr>
        <w:t xml:space="preserve">Other Capital </w:t>
      </w:r>
      <w:r w:rsidR="0081270F" w:rsidRPr="00715AE0">
        <w:rPr>
          <w:b/>
          <w:bCs/>
        </w:rPr>
        <w:t>Projects</w:t>
      </w:r>
    </w:p>
    <w:p w14:paraId="08ECEEB6" w14:textId="77777777" w:rsidR="00715AE0" w:rsidRPr="00715AE0" w:rsidRDefault="00715AE0" w:rsidP="00715AE0"/>
    <w:p w14:paraId="7632BF9D" w14:textId="13205A1F" w:rsidR="00BC58A3" w:rsidRDefault="008531B5" w:rsidP="00876685">
      <w:pPr>
        <w:rPr>
          <w:b/>
          <w:color w:val="5B7F95"/>
          <w:sz w:val="28"/>
          <w:szCs w:val="28"/>
        </w:rPr>
      </w:pPr>
      <w:r>
        <w:t>As a result of recommendations received around improving the University’s handling of hazardous materials in all areas of operati</w:t>
      </w:r>
      <w:r w:rsidR="00FD3914">
        <w:t>ons</w:t>
      </w:r>
      <w:r>
        <w:t>, the main shipping and receiving centre is being relocated to the Science Complex on the East Bank.  This project includes the creation a new loading dock and storage area, as well as a new section of interior roadway to allow safe and efficient entry and exit of delivery trucks.  The estimated cost of this project is $662,000 financed by appropriations and parking reserves.  The construction is scheduled for completion in August 2019.</w:t>
      </w:r>
    </w:p>
    <w:p w14:paraId="037CCCB4" w14:textId="22E2FD25" w:rsidR="0081270F" w:rsidRDefault="00395E1A" w:rsidP="00876685">
      <w:r>
        <w:t xml:space="preserve">The Forensics Program, within the Faculty of Science, incorporates experiential learning into its instruction through staged mock crime scenes at Trent’s Crime Scene House.  </w:t>
      </w:r>
      <w:r w:rsidR="004A3A6C">
        <w:t xml:space="preserve">In June 2019, the Board of Governors approved the construction of a new facility on the East Bank closer to the Science Complex to </w:t>
      </w:r>
      <w:r w:rsidR="004A3A6C">
        <w:lastRenderedPageBreak/>
        <w:t xml:space="preserve">replace the current farmhouse which </w:t>
      </w:r>
      <w:proofErr w:type="gramStart"/>
      <w:r w:rsidR="004A3A6C">
        <w:t>is in need of</w:t>
      </w:r>
      <w:proofErr w:type="gramEnd"/>
      <w:r w:rsidR="004A3A6C">
        <w:t xml:space="preserve"> significant remediation.  The new Forensics Training Facility will be built using an innovative, sustainable construction technology in alignment with the University’s commitment to sustainable development.  The estimated cost of the project is up to $1.2 million, which will be funded by appropriations and identified donations.  Construction is expected to get underway in 2019/2020.</w:t>
      </w:r>
    </w:p>
    <w:p w14:paraId="7916285D" w14:textId="75E04EB3" w:rsidR="0020457E" w:rsidRPr="00876685" w:rsidRDefault="0020457E" w:rsidP="00876685">
      <w:r>
        <w:t>The University has set aside 85 acres of land for the development</w:t>
      </w:r>
      <w:r w:rsidR="002E75D7">
        <w:t xml:space="preserve"> o</w:t>
      </w:r>
      <w:r>
        <w:t xml:space="preserve">f </w:t>
      </w:r>
      <w:r w:rsidR="002E75D7">
        <w:t>Cleantech Commons at Trent University</w:t>
      </w:r>
      <w:r w:rsidR="008C3973">
        <w:t xml:space="preserve">, </w:t>
      </w:r>
      <w:r w:rsidR="002E75D7">
        <w:t>a research and innovation park at the nort</w:t>
      </w:r>
      <w:r w:rsidR="008C3973">
        <w:t>h</w:t>
      </w:r>
      <w:r w:rsidR="002E75D7">
        <w:t xml:space="preserve">-east edge of the University’s Symons campus </w:t>
      </w:r>
      <w:r w:rsidR="008C3973">
        <w:t xml:space="preserve">which </w:t>
      </w:r>
      <w:r w:rsidR="002E75D7">
        <w:t xml:space="preserve">represents a major collaboration between the University and the City of Peterborough.  The vision for Cleantech Commons is to become Canada’s premier green technology research and innovation site, hosting a cluster of companies and start-up enterprises in </w:t>
      </w:r>
      <w:r w:rsidR="00876685">
        <w:t>environmentally focused</w:t>
      </w:r>
      <w:r w:rsidR="002E75D7">
        <w:t xml:space="preserve"> fields including clean </w:t>
      </w:r>
      <w:r w:rsidR="002E75D7" w:rsidRPr="00876685">
        <w:t xml:space="preserve">technology, environmental services, advanced material sciences, biotechnology, </w:t>
      </w:r>
      <w:r w:rsidR="00876685" w:rsidRPr="00876685">
        <w:t>Agri</w:t>
      </w:r>
      <w:r w:rsidR="002E75D7" w:rsidRPr="00876685">
        <w:t xml:space="preserve">-good, and agri-business, to name a few.  The goal for Cleantech Commons </w:t>
      </w:r>
      <w:r w:rsidR="008C3973" w:rsidRPr="00876685">
        <w:t>is to</w:t>
      </w:r>
      <w:r w:rsidR="002E75D7" w:rsidRPr="00876685">
        <w:t xml:space="preserve"> provide experiential learning and employment for students, forge new research partnerships, create a revenue stream for the University, and bring economic development to the region.  Its most important contributions may come as a result of the advancements in environmentally beneficial technologies and innovations from the firms located at the </w:t>
      </w:r>
      <w:proofErr w:type="gramStart"/>
      <w:r w:rsidR="002E75D7" w:rsidRPr="00876685">
        <w:t>Park</w:t>
      </w:r>
      <w:proofErr w:type="gramEnd"/>
      <w:r w:rsidR="002E75D7" w:rsidRPr="00876685">
        <w:t xml:space="preserve">. </w:t>
      </w:r>
    </w:p>
    <w:p w14:paraId="39C84E32" w14:textId="636614B5" w:rsidR="00C36B47" w:rsidRPr="00037E75" w:rsidRDefault="00C36B47" w:rsidP="00F6449B">
      <w:pPr>
        <w:spacing w:after="240"/>
        <w:jc w:val="both"/>
        <w:rPr>
          <w:rFonts w:ascii="Arial" w:hAnsi="Arial" w:cs="Arial"/>
          <w:b/>
          <w:color w:val="003300"/>
          <w:sz w:val="28"/>
          <w:szCs w:val="28"/>
        </w:rPr>
      </w:pPr>
    </w:p>
    <w:p w14:paraId="630630D9" w14:textId="2C29A11A" w:rsidR="003E2067" w:rsidRPr="003E2067" w:rsidRDefault="003E2067" w:rsidP="00F6449B">
      <w:pPr>
        <w:spacing w:after="240"/>
        <w:rPr>
          <w:rFonts w:ascii="Arial" w:hAnsi="Arial" w:cs="Arial"/>
          <w:color w:val="000000" w:themeColor="text1"/>
          <w:sz w:val="24"/>
          <w:szCs w:val="24"/>
        </w:rPr>
      </w:pPr>
    </w:p>
    <w:sectPr w:rsidR="003E2067" w:rsidRPr="003E2067" w:rsidSect="008F76A0">
      <w:footerReference w:type="default" r:id="rId2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7F11C" w14:textId="77777777" w:rsidR="00DC28C6" w:rsidRDefault="00DC28C6" w:rsidP="00F11AB3">
      <w:pPr>
        <w:spacing w:after="0" w:line="240" w:lineRule="auto"/>
      </w:pPr>
      <w:r>
        <w:separator/>
      </w:r>
    </w:p>
  </w:endnote>
  <w:endnote w:type="continuationSeparator" w:id="0">
    <w:p w14:paraId="243B9FB6" w14:textId="77777777" w:rsidR="00DC28C6" w:rsidRDefault="00DC28C6" w:rsidP="00F11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99796" w14:textId="77777777" w:rsidR="00DC28C6" w:rsidRDefault="00DC28C6" w:rsidP="00692541">
    <w:pPr>
      <w:pStyle w:val="Footer"/>
      <w:jc w:val="center"/>
    </w:pPr>
    <w:r>
      <w:t xml:space="preserve">_____________________________________________________________________________________                                </w:t>
    </w:r>
  </w:p>
  <w:p w14:paraId="2979479C" w14:textId="77777777" w:rsidR="00DC28C6" w:rsidRDefault="00DC28C6" w:rsidP="00692541">
    <w:pPr>
      <w:pStyle w:val="Footer"/>
      <w:jc w:val="center"/>
    </w:pPr>
    <w:r w:rsidRPr="00692541">
      <w:rPr>
        <w:noProof/>
        <w:lang w:val="en-US" w:eastAsia="en-US"/>
      </w:rPr>
      <w:drawing>
        <wp:anchor distT="0" distB="0" distL="114300" distR="114300" simplePos="0" relativeHeight="251658240" behindDoc="1" locked="0" layoutInCell="1" allowOverlap="1" wp14:anchorId="2381E076" wp14:editId="1C061E1E">
          <wp:simplePos x="0" y="0"/>
          <wp:positionH relativeFrom="margin">
            <wp:posOffset>-635</wp:posOffset>
          </wp:positionH>
          <wp:positionV relativeFrom="paragraph">
            <wp:posOffset>87630</wp:posOffset>
          </wp:positionV>
          <wp:extent cx="1047115" cy="316230"/>
          <wp:effectExtent l="0" t="0" r="635" b="7620"/>
          <wp:wrapThrough wrapText="bothSides">
            <wp:wrapPolygon edited="0">
              <wp:start x="0" y="0"/>
              <wp:lineTo x="0" y="20819"/>
              <wp:lineTo x="21220" y="20819"/>
              <wp:lineTo x="21220" y="0"/>
              <wp:lineTo x="0" y="0"/>
            </wp:wrapPolygon>
          </wp:wrapThrough>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7115" cy="3162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CBCF7A7" w14:textId="3FB57EDE" w:rsidR="00DC28C6" w:rsidRPr="00B07096" w:rsidRDefault="00DC28C6" w:rsidP="00692541">
    <w:pPr>
      <w:pStyle w:val="Footer"/>
      <w:jc w:val="center"/>
      <w:rPr>
        <w:rFonts w:ascii="Arial" w:hAnsi="Arial" w:cs="Arial"/>
        <w:sz w:val="24"/>
        <w:szCs w:val="24"/>
      </w:rPr>
    </w:pPr>
    <w:r>
      <w:rPr>
        <w:rFonts w:ascii="Arial" w:hAnsi="Arial" w:cs="Arial"/>
        <w:sz w:val="24"/>
        <w:szCs w:val="24"/>
      </w:rPr>
      <w:t xml:space="preserve">                </w:t>
    </w:r>
    <w:r w:rsidRPr="004D4A75">
      <w:rPr>
        <w:rFonts w:ascii="Arial" w:hAnsi="Arial" w:cs="Arial"/>
        <w:sz w:val="20"/>
        <w:szCs w:val="20"/>
      </w:rPr>
      <w:t>201</w:t>
    </w:r>
    <w:r>
      <w:rPr>
        <w:rFonts w:ascii="Arial" w:hAnsi="Arial" w:cs="Arial"/>
        <w:sz w:val="20"/>
        <w:szCs w:val="20"/>
      </w:rPr>
      <w:t>9</w:t>
    </w:r>
    <w:r w:rsidRPr="004D4A75">
      <w:rPr>
        <w:rFonts w:ascii="Arial" w:hAnsi="Arial" w:cs="Arial"/>
        <w:sz w:val="20"/>
        <w:szCs w:val="20"/>
      </w:rPr>
      <w:t>/20</w:t>
    </w:r>
    <w:r>
      <w:rPr>
        <w:rFonts w:ascii="Arial" w:hAnsi="Arial" w:cs="Arial"/>
        <w:sz w:val="20"/>
        <w:szCs w:val="20"/>
      </w:rPr>
      <w:t>20</w:t>
    </w:r>
    <w:r w:rsidRPr="004D4A75">
      <w:rPr>
        <w:rFonts w:ascii="Arial" w:hAnsi="Arial" w:cs="Arial"/>
        <w:sz w:val="20"/>
        <w:szCs w:val="20"/>
      </w:rPr>
      <w:t xml:space="preserve"> BUDGET REPORT </w:t>
    </w:r>
    <w:sdt>
      <w:sdtPr>
        <w:rPr>
          <w:rFonts w:ascii="Arial" w:hAnsi="Arial" w:cs="Arial"/>
          <w:sz w:val="20"/>
          <w:szCs w:val="20"/>
        </w:rPr>
        <w:id w:val="-1401515103"/>
        <w:docPartObj>
          <w:docPartGallery w:val="Page Numbers (Bottom of Page)"/>
          <w:docPartUnique/>
        </w:docPartObj>
      </w:sdtPr>
      <w:sdtEndPr>
        <w:rPr>
          <w:sz w:val="24"/>
          <w:szCs w:val="24"/>
        </w:rPr>
      </w:sdtEndPr>
      <w:sdtContent>
        <w:sdt>
          <w:sdtPr>
            <w:rPr>
              <w:rFonts w:ascii="Arial" w:hAnsi="Arial" w:cs="Arial"/>
              <w:sz w:val="20"/>
              <w:szCs w:val="20"/>
            </w:rPr>
            <w:id w:val="-260990860"/>
            <w:docPartObj>
              <w:docPartGallery w:val="Page Numbers (Top of Page)"/>
              <w:docPartUnique/>
            </w:docPartObj>
          </w:sdtPr>
          <w:sdtEndPr/>
          <w:sdtContent>
            <w:r w:rsidRPr="004D4A75">
              <w:rPr>
                <w:rFonts w:ascii="Arial" w:hAnsi="Arial" w:cs="Arial"/>
                <w:sz w:val="20"/>
                <w:szCs w:val="20"/>
              </w:rPr>
              <w:tab/>
              <w:t xml:space="preserve">Page </w:t>
            </w:r>
            <w:r w:rsidRPr="004D4A75">
              <w:rPr>
                <w:rFonts w:ascii="Arial" w:hAnsi="Arial" w:cs="Arial"/>
                <w:bCs/>
                <w:sz w:val="20"/>
                <w:szCs w:val="20"/>
              </w:rPr>
              <w:fldChar w:fldCharType="begin"/>
            </w:r>
            <w:r w:rsidRPr="004D4A75">
              <w:rPr>
                <w:rFonts w:ascii="Arial" w:hAnsi="Arial" w:cs="Arial"/>
                <w:bCs/>
                <w:sz w:val="20"/>
                <w:szCs w:val="20"/>
              </w:rPr>
              <w:instrText xml:space="preserve"> PAGE </w:instrText>
            </w:r>
            <w:r w:rsidRPr="004D4A75">
              <w:rPr>
                <w:rFonts w:ascii="Arial" w:hAnsi="Arial" w:cs="Arial"/>
                <w:bCs/>
                <w:sz w:val="20"/>
                <w:szCs w:val="20"/>
              </w:rPr>
              <w:fldChar w:fldCharType="separate"/>
            </w:r>
            <w:r w:rsidR="00FD3914">
              <w:rPr>
                <w:rFonts w:ascii="Arial" w:hAnsi="Arial" w:cs="Arial"/>
                <w:bCs/>
                <w:noProof/>
                <w:sz w:val="20"/>
                <w:szCs w:val="20"/>
              </w:rPr>
              <w:t>20</w:t>
            </w:r>
            <w:r w:rsidRPr="004D4A75">
              <w:rPr>
                <w:rFonts w:ascii="Arial" w:hAnsi="Arial" w:cs="Arial"/>
                <w:bCs/>
                <w:sz w:val="20"/>
                <w:szCs w:val="20"/>
              </w:rPr>
              <w:fldChar w:fldCharType="end"/>
            </w:r>
            <w:r w:rsidRPr="004D4A75">
              <w:rPr>
                <w:rFonts w:ascii="Arial" w:hAnsi="Arial" w:cs="Arial"/>
                <w:sz w:val="20"/>
                <w:szCs w:val="20"/>
              </w:rPr>
              <w:t xml:space="preserve"> of </w:t>
            </w:r>
            <w:r w:rsidRPr="004D4A75">
              <w:rPr>
                <w:rFonts w:ascii="Arial" w:hAnsi="Arial" w:cs="Arial"/>
                <w:bCs/>
                <w:sz w:val="20"/>
                <w:szCs w:val="20"/>
              </w:rPr>
              <w:fldChar w:fldCharType="begin"/>
            </w:r>
            <w:r w:rsidRPr="004D4A75">
              <w:rPr>
                <w:rFonts w:ascii="Arial" w:hAnsi="Arial" w:cs="Arial"/>
                <w:bCs/>
                <w:sz w:val="20"/>
                <w:szCs w:val="20"/>
              </w:rPr>
              <w:instrText xml:space="preserve"> NUMPAGES  </w:instrText>
            </w:r>
            <w:r w:rsidRPr="004D4A75">
              <w:rPr>
                <w:rFonts w:ascii="Arial" w:hAnsi="Arial" w:cs="Arial"/>
                <w:bCs/>
                <w:sz w:val="20"/>
                <w:szCs w:val="20"/>
              </w:rPr>
              <w:fldChar w:fldCharType="separate"/>
            </w:r>
            <w:r w:rsidR="00FD3914">
              <w:rPr>
                <w:rFonts w:ascii="Arial" w:hAnsi="Arial" w:cs="Arial"/>
                <w:bCs/>
                <w:noProof/>
                <w:sz w:val="20"/>
                <w:szCs w:val="20"/>
              </w:rPr>
              <w:t>33</w:t>
            </w:r>
            <w:r w:rsidRPr="004D4A75">
              <w:rPr>
                <w:rFonts w:ascii="Arial" w:hAnsi="Arial" w:cs="Arial"/>
                <w:bCs/>
                <w:sz w:val="20"/>
                <w:szCs w:val="20"/>
              </w:rPr>
              <w:fldChar w:fldCharType="end"/>
            </w:r>
          </w:sdtContent>
        </w:sdt>
      </w:sdtContent>
    </w:sdt>
  </w:p>
  <w:p w14:paraId="68757C2F" w14:textId="77777777" w:rsidR="00DC28C6" w:rsidRDefault="00DC2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9AB8" w14:textId="77777777" w:rsidR="00DC28C6" w:rsidRDefault="00DC28C6" w:rsidP="00F11AB3">
      <w:pPr>
        <w:spacing w:after="0" w:line="240" w:lineRule="auto"/>
      </w:pPr>
      <w:r>
        <w:separator/>
      </w:r>
    </w:p>
  </w:footnote>
  <w:footnote w:type="continuationSeparator" w:id="0">
    <w:p w14:paraId="0CBCEBB4" w14:textId="77777777" w:rsidR="00DC28C6" w:rsidRDefault="00DC28C6" w:rsidP="00F11AB3">
      <w:pPr>
        <w:spacing w:after="0" w:line="240" w:lineRule="auto"/>
      </w:pPr>
      <w:r>
        <w:continuationSeparator/>
      </w:r>
    </w:p>
  </w:footnote>
  <w:footnote w:id="1">
    <w:p w14:paraId="159CCEDE" w14:textId="5FB74B20" w:rsidR="00DC28C6" w:rsidRPr="001042DF" w:rsidRDefault="00DC28C6">
      <w:pPr>
        <w:pStyle w:val="FootnoteText"/>
        <w:rPr>
          <w:rStyle w:val="Emphasis"/>
        </w:rPr>
      </w:pPr>
      <w:r w:rsidRPr="001042DF">
        <w:rPr>
          <w:rStyle w:val="Emphasis"/>
        </w:rPr>
        <w:footnoteRef/>
      </w:r>
      <w:r w:rsidRPr="001042DF">
        <w:rPr>
          <w:rStyle w:val="Emphasis"/>
        </w:rPr>
        <w:t xml:space="preserve"> Source:  2018 CUPA Tuition Fee Survey; using 2018-2019 international undergraduate tuition rates for the Arts &amp; Science, Social Science category</w:t>
      </w:r>
    </w:p>
  </w:footnote>
  <w:footnote w:id="2">
    <w:p w14:paraId="63676A73" w14:textId="77777777" w:rsidR="00DC28C6" w:rsidRPr="001042DF" w:rsidRDefault="00DC28C6" w:rsidP="00E54295">
      <w:pPr>
        <w:pStyle w:val="FootnoteText"/>
        <w:rPr>
          <w:rStyle w:val="SubtleEmphasis"/>
        </w:rPr>
      </w:pPr>
      <w:r w:rsidRPr="001042DF">
        <w:rPr>
          <w:rStyle w:val="SubtleEmphasis"/>
        </w:rPr>
        <w:footnoteRef/>
      </w:r>
      <w:r w:rsidRPr="001042DF">
        <w:rPr>
          <w:rStyle w:val="SubtleEmphasis"/>
        </w:rPr>
        <w:t xml:space="preserve"> Maclean’s University Rankings 2018 – Primarily Undergraduate category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473DD"/>
    <w:multiLevelType w:val="hybridMultilevel"/>
    <w:tmpl w:val="8CC28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94472"/>
    <w:multiLevelType w:val="hybridMultilevel"/>
    <w:tmpl w:val="3E663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04268"/>
    <w:multiLevelType w:val="hybridMultilevel"/>
    <w:tmpl w:val="E44CD7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0F64F2"/>
    <w:multiLevelType w:val="hybridMultilevel"/>
    <w:tmpl w:val="EF981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36634B"/>
    <w:multiLevelType w:val="hybridMultilevel"/>
    <w:tmpl w:val="E3942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2D074C"/>
    <w:multiLevelType w:val="hybridMultilevel"/>
    <w:tmpl w:val="2F1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AA5484"/>
    <w:multiLevelType w:val="multilevel"/>
    <w:tmpl w:val="39A27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A20BC9"/>
    <w:multiLevelType w:val="hybridMultilevel"/>
    <w:tmpl w:val="9F24D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307417"/>
    <w:multiLevelType w:val="hybridMultilevel"/>
    <w:tmpl w:val="E0E2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5"/>
  </w:num>
  <w:num w:numId="6">
    <w:abstractNumId w:val="6"/>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B3"/>
    <w:rsid w:val="0001016B"/>
    <w:rsid w:val="00015793"/>
    <w:rsid w:val="00016182"/>
    <w:rsid w:val="000321D0"/>
    <w:rsid w:val="00033C29"/>
    <w:rsid w:val="00037E75"/>
    <w:rsid w:val="0004606D"/>
    <w:rsid w:val="000558D7"/>
    <w:rsid w:val="00057509"/>
    <w:rsid w:val="0006743A"/>
    <w:rsid w:val="000774E1"/>
    <w:rsid w:val="0007769E"/>
    <w:rsid w:val="00084C36"/>
    <w:rsid w:val="00093BBD"/>
    <w:rsid w:val="000A0820"/>
    <w:rsid w:val="000B51E1"/>
    <w:rsid w:val="000B56D9"/>
    <w:rsid w:val="000C1301"/>
    <w:rsid w:val="000C496B"/>
    <w:rsid w:val="000D4510"/>
    <w:rsid w:val="000D4C30"/>
    <w:rsid w:val="000D7EFE"/>
    <w:rsid w:val="000E0CE1"/>
    <w:rsid w:val="000E5AF4"/>
    <w:rsid w:val="000F06EF"/>
    <w:rsid w:val="000F2EDA"/>
    <w:rsid w:val="000F646D"/>
    <w:rsid w:val="000F64AB"/>
    <w:rsid w:val="0010066B"/>
    <w:rsid w:val="001042DF"/>
    <w:rsid w:val="00107099"/>
    <w:rsid w:val="001104B2"/>
    <w:rsid w:val="001253BC"/>
    <w:rsid w:val="00143468"/>
    <w:rsid w:val="00152348"/>
    <w:rsid w:val="00154A00"/>
    <w:rsid w:val="00156618"/>
    <w:rsid w:val="001572C7"/>
    <w:rsid w:val="001674D6"/>
    <w:rsid w:val="00174F59"/>
    <w:rsid w:val="00176561"/>
    <w:rsid w:val="00186528"/>
    <w:rsid w:val="00192976"/>
    <w:rsid w:val="00193BFB"/>
    <w:rsid w:val="00193F69"/>
    <w:rsid w:val="001A109A"/>
    <w:rsid w:val="001A4D22"/>
    <w:rsid w:val="001A5BBB"/>
    <w:rsid w:val="001A60FF"/>
    <w:rsid w:val="001C1C5E"/>
    <w:rsid w:val="001C25AE"/>
    <w:rsid w:val="001D0022"/>
    <w:rsid w:val="001D16E3"/>
    <w:rsid w:val="001D6720"/>
    <w:rsid w:val="001E18EE"/>
    <w:rsid w:val="001E6C3A"/>
    <w:rsid w:val="00200F97"/>
    <w:rsid w:val="0020457E"/>
    <w:rsid w:val="0021617D"/>
    <w:rsid w:val="0024037D"/>
    <w:rsid w:val="00254B6C"/>
    <w:rsid w:val="00256317"/>
    <w:rsid w:val="002605B0"/>
    <w:rsid w:val="002626D1"/>
    <w:rsid w:val="0026354B"/>
    <w:rsid w:val="0026486F"/>
    <w:rsid w:val="00277133"/>
    <w:rsid w:val="00285662"/>
    <w:rsid w:val="002949F0"/>
    <w:rsid w:val="002A0F28"/>
    <w:rsid w:val="002A2DF8"/>
    <w:rsid w:val="002A78B8"/>
    <w:rsid w:val="002B1B26"/>
    <w:rsid w:val="002B7DA3"/>
    <w:rsid w:val="002C1D0C"/>
    <w:rsid w:val="002C1FE6"/>
    <w:rsid w:val="002C2D86"/>
    <w:rsid w:val="002C33C2"/>
    <w:rsid w:val="002C362E"/>
    <w:rsid w:val="002E19CF"/>
    <w:rsid w:val="002E75D7"/>
    <w:rsid w:val="002F06F3"/>
    <w:rsid w:val="002F13BB"/>
    <w:rsid w:val="00301CD1"/>
    <w:rsid w:val="00306763"/>
    <w:rsid w:val="003219CB"/>
    <w:rsid w:val="00323422"/>
    <w:rsid w:val="00330C53"/>
    <w:rsid w:val="0033178B"/>
    <w:rsid w:val="00337DE5"/>
    <w:rsid w:val="0035796A"/>
    <w:rsid w:val="00372874"/>
    <w:rsid w:val="0039129C"/>
    <w:rsid w:val="003931A4"/>
    <w:rsid w:val="00395E1A"/>
    <w:rsid w:val="003A3FD7"/>
    <w:rsid w:val="003A47F3"/>
    <w:rsid w:val="003B37BC"/>
    <w:rsid w:val="003B3BE6"/>
    <w:rsid w:val="003B48BD"/>
    <w:rsid w:val="003D04B8"/>
    <w:rsid w:val="003D0B3F"/>
    <w:rsid w:val="003D219B"/>
    <w:rsid w:val="003E02DC"/>
    <w:rsid w:val="003E0874"/>
    <w:rsid w:val="003E2067"/>
    <w:rsid w:val="003E4CF9"/>
    <w:rsid w:val="003E783B"/>
    <w:rsid w:val="004026E7"/>
    <w:rsid w:val="00403E62"/>
    <w:rsid w:val="00416CAC"/>
    <w:rsid w:val="0042030E"/>
    <w:rsid w:val="00422FD7"/>
    <w:rsid w:val="00423692"/>
    <w:rsid w:val="00440D63"/>
    <w:rsid w:val="00445587"/>
    <w:rsid w:val="0045299A"/>
    <w:rsid w:val="00454514"/>
    <w:rsid w:val="004556D3"/>
    <w:rsid w:val="00461866"/>
    <w:rsid w:val="004718D3"/>
    <w:rsid w:val="004817F8"/>
    <w:rsid w:val="00483476"/>
    <w:rsid w:val="004904FF"/>
    <w:rsid w:val="00491912"/>
    <w:rsid w:val="00491E5A"/>
    <w:rsid w:val="00492D10"/>
    <w:rsid w:val="004A3A6C"/>
    <w:rsid w:val="004B0E81"/>
    <w:rsid w:val="004B7EE3"/>
    <w:rsid w:val="004C5491"/>
    <w:rsid w:val="004C79A3"/>
    <w:rsid w:val="004D19F7"/>
    <w:rsid w:val="004D4A75"/>
    <w:rsid w:val="004E1C5B"/>
    <w:rsid w:val="004E204B"/>
    <w:rsid w:val="004E6452"/>
    <w:rsid w:val="004F17CD"/>
    <w:rsid w:val="005038E5"/>
    <w:rsid w:val="00513185"/>
    <w:rsid w:val="005140F7"/>
    <w:rsid w:val="00524B51"/>
    <w:rsid w:val="0052593E"/>
    <w:rsid w:val="005349BC"/>
    <w:rsid w:val="005366BB"/>
    <w:rsid w:val="00545B61"/>
    <w:rsid w:val="00551D6C"/>
    <w:rsid w:val="00561F7D"/>
    <w:rsid w:val="00571673"/>
    <w:rsid w:val="005750D3"/>
    <w:rsid w:val="005A7AC2"/>
    <w:rsid w:val="005B5F21"/>
    <w:rsid w:val="005C3566"/>
    <w:rsid w:val="005C41CE"/>
    <w:rsid w:val="005C51C7"/>
    <w:rsid w:val="005E11B3"/>
    <w:rsid w:val="005F2B01"/>
    <w:rsid w:val="00604F22"/>
    <w:rsid w:val="0061088E"/>
    <w:rsid w:val="0061495A"/>
    <w:rsid w:val="006152BA"/>
    <w:rsid w:val="00620759"/>
    <w:rsid w:val="0063195F"/>
    <w:rsid w:val="006404A1"/>
    <w:rsid w:val="00650231"/>
    <w:rsid w:val="00650F66"/>
    <w:rsid w:val="006739B2"/>
    <w:rsid w:val="00682F77"/>
    <w:rsid w:val="00692541"/>
    <w:rsid w:val="0069421E"/>
    <w:rsid w:val="006A55EB"/>
    <w:rsid w:val="006B324D"/>
    <w:rsid w:val="006D54F8"/>
    <w:rsid w:val="006E2C22"/>
    <w:rsid w:val="00703B0C"/>
    <w:rsid w:val="00713DEB"/>
    <w:rsid w:val="00715AE0"/>
    <w:rsid w:val="0072080D"/>
    <w:rsid w:val="00732D57"/>
    <w:rsid w:val="007569F2"/>
    <w:rsid w:val="007631A8"/>
    <w:rsid w:val="00763F81"/>
    <w:rsid w:val="00764C77"/>
    <w:rsid w:val="00766F6C"/>
    <w:rsid w:val="007776C7"/>
    <w:rsid w:val="007A54D7"/>
    <w:rsid w:val="007B1D36"/>
    <w:rsid w:val="007B2B4D"/>
    <w:rsid w:val="007B52E8"/>
    <w:rsid w:val="007C1173"/>
    <w:rsid w:val="007C5C46"/>
    <w:rsid w:val="007C6572"/>
    <w:rsid w:val="007C6980"/>
    <w:rsid w:val="007C7397"/>
    <w:rsid w:val="007D366A"/>
    <w:rsid w:val="007D5F8C"/>
    <w:rsid w:val="007F2261"/>
    <w:rsid w:val="007F3875"/>
    <w:rsid w:val="0080148A"/>
    <w:rsid w:val="0081270F"/>
    <w:rsid w:val="00812D9D"/>
    <w:rsid w:val="00831DDB"/>
    <w:rsid w:val="008342DC"/>
    <w:rsid w:val="008352F4"/>
    <w:rsid w:val="00836562"/>
    <w:rsid w:val="00840A53"/>
    <w:rsid w:val="008416ED"/>
    <w:rsid w:val="00843F09"/>
    <w:rsid w:val="008531B5"/>
    <w:rsid w:val="008727C6"/>
    <w:rsid w:val="00875401"/>
    <w:rsid w:val="00876685"/>
    <w:rsid w:val="0089534A"/>
    <w:rsid w:val="008B6A6D"/>
    <w:rsid w:val="008C0FE5"/>
    <w:rsid w:val="008C14F6"/>
    <w:rsid w:val="008C2067"/>
    <w:rsid w:val="008C3973"/>
    <w:rsid w:val="008C4EF7"/>
    <w:rsid w:val="008D22ED"/>
    <w:rsid w:val="008D6371"/>
    <w:rsid w:val="008D7623"/>
    <w:rsid w:val="008D7673"/>
    <w:rsid w:val="008F39E7"/>
    <w:rsid w:val="008F76A0"/>
    <w:rsid w:val="0090025B"/>
    <w:rsid w:val="00903D0E"/>
    <w:rsid w:val="00911B70"/>
    <w:rsid w:val="00922B64"/>
    <w:rsid w:val="00923821"/>
    <w:rsid w:val="009246E7"/>
    <w:rsid w:val="00924FC4"/>
    <w:rsid w:val="0095037F"/>
    <w:rsid w:val="00951F24"/>
    <w:rsid w:val="009602D4"/>
    <w:rsid w:val="00960DDC"/>
    <w:rsid w:val="00966659"/>
    <w:rsid w:val="009677F7"/>
    <w:rsid w:val="00974088"/>
    <w:rsid w:val="009749B6"/>
    <w:rsid w:val="00991767"/>
    <w:rsid w:val="009936BE"/>
    <w:rsid w:val="009A0BB7"/>
    <w:rsid w:val="009A3BAA"/>
    <w:rsid w:val="009A50D1"/>
    <w:rsid w:val="009A5578"/>
    <w:rsid w:val="009B156F"/>
    <w:rsid w:val="009B632B"/>
    <w:rsid w:val="009C0EA5"/>
    <w:rsid w:val="009C34BA"/>
    <w:rsid w:val="009D4B3E"/>
    <w:rsid w:val="009E41C5"/>
    <w:rsid w:val="00A03627"/>
    <w:rsid w:val="00A03F47"/>
    <w:rsid w:val="00A10538"/>
    <w:rsid w:val="00A111D5"/>
    <w:rsid w:val="00A31486"/>
    <w:rsid w:val="00A33979"/>
    <w:rsid w:val="00A44140"/>
    <w:rsid w:val="00A4460D"/>
    <w:rsid w:val="00A47DF2"/>
    <w:rsid w:val="00A545EE"/>
    <w:rsid w:val="00A5702E"/>
    <w:rsid w:val="00A646C3"/>
    <w:rsid w:val="00A67313"/>
    <w:rsid w:val="00A75C6B"/>
    <w:rsid w:val="00A77C28"/>
    <w:rsid w:val="00A8236F"/>
    <w:rsid w:val="00A96965"/>
    <w:rsid w:val="00AA23A3"/>
    <w:rsid w:val="00AA424F"/>
    <w:rsid w:val="00AB266C"/>
    <w:rsid w:val="00AB69AC"/>
    <w:rsid w:val="00AB7D3A"/>
    <w:rsid w:val="00AC4EAB"/>
    <w:rsid w:val="00AD1832"/>
    <w:rsid w:val="00AD6691"/>
    <w:rsid w:val="00AD6EC8"/>
    <w:rsid w:val="00AE6212"/>
    <w:rsid w:val="00AF2365"/>
    <w:rsid w:val="00AF334A"/>
    <w:rsid w:val="00AF4E64"/>
    <w:rsid w:val="00AF6B81"/>
    <w:rsid w:val="00AF7CBF"/>
    <w:rsid w:val="00B00EE1"/>
    <w:rsid w:val="00B07096"/>
    <w:rsid w:val="00B1078F"/>
    <w:rsid w:val="00B14EBE"/>
    <w:rsid w:val="00B3480F"/>
    <w:rsid w:val="00B73921"/>
    <w:rsid w:val="00B76012"/>
    <w:rsid w:val="00B763DD"/>
    <w:rsid w:val="00B83694"/>
    <w:rsid w:val="00B97E89"/>
    <w:rsid w:val="00BA229A"/>
    <w:rsid w:val="00BA6819"/>
    <w:rsid w:val="00BB15B6"/>
    <w:rsid w:val="00BB306D"/>
    <w:rsid w:val="00BC4B95"/>
    <w:rsid w:val="00BC58A3"/>
    <w:rsid w:val="00BC60AA"/>
    <w:rsid w:val="00BD3BDB"/>
    <w:rsid w:val="00BE0019"/>
    <w:rsid w:val="00BF143D"/>
    <w:rsid w:val="00BF377D"/>
    <w:rsid w:val="00C17335"/>
    <w:rsid w:val="00C20912"/>
    <w:rsid w:val="00C24593"/>
    <w:rsid w:val="00C24ECF"/>
    <w:rsid w:val="00C36B47"/>
    <w:rsid w:val="00C36B74"/>
    <w:rsid w:val="00C45A21"/>
    <w:rsid w:val="00C56E67"/>
    <w:rsid w:val="00C64424"/>
    <w:rsid w:val="00C6495B"/>
    <w:rsid w:val="00C72765"/>
    <w:rsid w:val="00CA05CD"/>
    <w:rsid w:val="00CA647D"/>
    <w:rsid w:val="00CB2745"/>
    <w:rsid w:val="00CB3706"/>
    <w:rsid w:val="00CC6F42"/>
    <w:rsid w:val="00CD3E62"/>
    <w:rsid w:val="00CE33CD"/>
    <w:rsid w:val="00CF51A9"/>
    <w:rsid w:val="00D0030B"/>
    <w:rsid w:val="00D031FA"/>
    <w:rsid w:val="00D2331D"/>
    <w:rsid w:val="00D275DE"/>
    <w:rsid w:val="00D32827"/>
    <w:rsid w:val="00D33234"/>
    <w:rsid w:val="00D42ADB"/>
    <w:rsid w:val="00D54EC1"/>
    <w:rsid w:val="00D557CC"/>
    <w:rsid w:val="00D56A76"/>
    <w:rsid w:val="00D64B14"/>
    <w:rsid w:val="00D650B3"/>
    <w:rsid w:val="00D6526E"/>
    <w:rsid w:val="00D6600B"/>
    <w:rsid w:val="00D729C4"/>
    <w:rsid w:val="00D7315E"/>
    <w:rsid w:val="00D751AB"/>
    <w:rsid w:val="00D75738"/>
    <w:rsid w:val="00D8040F"/>
    <w:rsid w:val="00D81F15"/>
    <w:rsid w:val="00D84C26"/>
    <w:rsid w:val="00D92354"/>
    <w:rsid w:val="00D9395F"/>
    <w:rsid w:val="00D93FAB"/>
    <w:rsid w:val="00D97283"/>
    <w:rsid w:val="00DA0D92"/>
    <w:rsid w:val="00DA4F85"/>
    <w:rsid w:val="00DB798F"/>
    <w:rsid w:val="00DC28C6"/>
    <w:rsid w:val="00DD1F24"/>
    <w:rsid w:val="00DF0AE1"/>
    <w:rsid w:val="00E12344"/>
    <w:rsid w:val="00E12972"/>
    <w:rsid w:val="00E135A5"/>
    <w:rsid w:val="00E13610"/>
    <w:rsid w:val="00E166F2"/>
    <w:rsid w:val="00E26E07"/>
    <w:rsid w:val="00E31655"/>
    <w:rsid w:val="00E420EE"/>
    <w:rsid w:val="00E42DCA"/>
    <w:rsid w:val="00E5397E"/>
    <w:rsid w:val="00E54295"/>
    <w:rsid w:val="00E55980"/>
    <w:rsid w:val="00E67CCB"/>
    <w:rsid w:val="00E67E5E"/>
    <w:rsid w:val="00E73DC1"/>
    <w:rsid w:val="00E75DBA"/>
    <w:rsid w:val="00E855FB"/>
    <w:rsid w:val="00E8570F"/>
    <w:rsid w:val="00E90041"/>
    <w:rsid w:val="00EA2A12"/>
    <w:rsid w:val="00EB1855"/>
    <w:rsid w:val="00EB5FC6"/>
    <w:rsid w:val="00EC5B68"/>
    <w:rsid w:val="00EE3277"/>
    <w:rsid w:val="00EE421A"/>
    <w:rsid w:val="00F06C86"/>
    <w:rsid w:val="00F10DD4"/>
    <w:rsid w:val="00F11AB3"/>
    <w:rsid w:val="00F15C47"/>
    <w:rsid w:val="00F2477E"/>
    <w:rsid w:val="00F24D26"/>
    <w:rsid w:val="00F26A43"/>
    <w:rsid w:val="00F27AAB"/>
    <w:rsid w:val="00F30C67"/>
    <w:rsid w:val="00F327DA"/>
    <w:rsid w:val="00F375BD"/>
    <w:rsid w:val="00F41864"/>
    <w:rsid w:val="00F44012"/>
    <w:rsid w:val="00F536A3"/>
    <w:rsid w:val="00F600CC"/>
    <w:rsid w:val="00F6449B"/>
    <w:rsid w:val="00F64701"/>
    <w:rsid w:val="00F851BC"/>
    <w:rsid w:val="00FA11D8"/>
    <w:rsid w:val="00FA54B0"/>
    <w:rsid w:val="00FA74E8"/>
    <w:rsid w:val="00FB0812"/>
    <w:rsid w:val="00FB095E"/>
    <w:rsid w:val="00FB5585"/>
    <w:rsid w:val="00FD04D4"/>
    <w:rsid w:val="00FD3606"/>
    <w:rsid w:val="00FD3914"/>
    <w:rsid w:val="00FD52D5"/>
    <w:rsid w:val="00FD5694"/>
    <w:rsid w:val="00FD735A"/>
    <w:rsid w:val="00FE1338"/>
    <w:rsid w:val="00FE6C16"/>
    <w:rsid w:val="00FF6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5B9D6794"/>
  <w15:chartTrackingRefBased/>
  <w15:docId w15:val="{113CA6AF-B357-437A-9691-DBE965DC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AB3"/>
    <w:pPr>
      <w:spacing w:after="200" w:line="276" w:lineRule="auto"/>
    </w:pPr>
    <w:rPr>
      <w:rFonts w:ascii="Calibri" w:eastAsia="Times New Roman" w:hAnsi="Calibri" w:cs="Times New Roman"/>
      <w:lang w:val="en-CA" w:eastAsia="en-CA"/>
    </w:rPr>
  </w:style>
  <w:style w:type="paragraph" w:styleId="Heading1">
    <w:name w:val="heading 1"/>
    <w:basedOn w:val="Normal"/>
    <w:next w:val="Normal"/>
    <w:link w:val="Heading1Char"/>
    <w:uiPriority w:val="9"/>
    <w:qFormat/>
    <w:rsid w:val="00FD04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B30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04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1AB3"/>
    <w:pPr>
      <w:spacing w:after="0" w:line="240" w:lineRule="auto"/>
    </w:pPr>
    <w:rPr>
      <w:rFonts w:ascii="Calibri" w:eastAsia="Calibri" w:hAnsi="Calibri" w:cs="Times New Roman"/>
      <w:lang w:val="en-CA"/>
    </w:rPr>
  </w:style>
  <w:style w:type="paragraph" w:styleId="Header">
    <w:name w:val="header"/>
    <w:basedOn w:val="Normal"/>
    <w:link w:val="HeaderChar"/>
    <w:uiPriority w:val="99"/>
    <w:unhideWhenUsed/>
    <w:rsid w:val="003D21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9B"/>
    <w:rPr>
      <w:rFonts w:ascii="Calibri" w:eastAsia="Times New Roman" w:hAnsi="Calibri" w:cs="Times New Roman"/>
      <w:lang w:val="en-CA" w:eastAsia="en-CA"/>
    </w:rPr>
  </w:style>
  <w:style w:type="paragraph" w:styleId="Footer">
    <w:name w:val="footer"/>
    <w:basedOn w:val="Normal"/>
    <w:link w:val="FooterChar"/>
    <w:uiPriority w:val="99"/>
    <w:unhideWhenUsed/>
    <w:qFormat/>
    <w:rsid w:val="00F11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AB3"/>
    <w:rPr>
      <w:rFonts w:ascii="Calibri" w:eastAsia="Times New Roman" w:hAnsi="Calibri" w:cs="Times New Roman"/>
      <w:lang w:val="en-CA" w:eastAsia="en-CA"/>
    </w:rPr>
  </w:style>
  <w:style w:type="table" w:styleId="TableGrid">
    <w:name w:val="Table Grid"/>
    <w:basedOn w:val="TableNormal"/>
    <w:uiPriority w:val="39"/>
    <w:rsid w:val="00E136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831D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256317"/>
    <w:pPr>
      <w:ind w:left="720"/>
      <w:contextualSpacing/>
    </w:pPr>
  </w:style>
  <w:style w:type="character" w:customStyle="1" w:styleId="Heading1Char">
    <w:name w:val="Heading 1 Char"/>
    <w:basedOn w:val="DefaultParagraphFont"/>
    <w:link w:val="Heading1"/>
    <w:uiPriority w:val="9"/>
    <w:rsid w:val="00FD04D4"/>
    <w:rPr>
      <w:rFonts w:asciiTheme="majorHAnsi" w:eastAsiaTheme="majorEastAsia" w:hAnsiTheme="majorHAnsi" w:cstheme="majorBidi"/>
      <w:color w:val="2E74B5" w:themeColor="accent1" w:themeShade="BF"/>
      <w:sz w:val="32"/>
      <w:szCs w:val="32"/>
      <w:lang w:val="en-CA" w:eastAsia="en-CA"/>
    </w:rPr>
  </w:style>
  <w:style w:type="paragraph" w:styleId="TOCHeading">
    <w:name w:val="TOC Heading"/>
    <w:basedOn w:val="Heading1"/>
    <w:next w:val="Normal"/>
    <w:uiPriority w:val="39"/>
    <w:unhideWhenUsed/>
    <w:qFormat/>
    <w:rsid w:val="00FD04D4"/>
    <w:pPr>
      <w:spacing w:before="480"/>
      <w:outlineLvl w:val="9"/>
    </w:pPr>
    <w:rPr>
      <w:b/>
      <w:bCs/>
      <w:sz w:val="28"/>
      <w:szCs w:val="28"/>
      <w:lang w:val="en-US" w:eastAsia="en-US"/>
    </w:rPr>
  </w:style>
  <w:style w:type="paragraph" w:styleId="TOC1">
    <w:name w:val="toc 1"/>
    <w:basedOn w:val="Normal"/>
    <w:next w:val="Normal"/>
    <w:autoRedefine/>
    <w:uiPriority w:val="39"/>
    <w:semiHidden/>
    <w:unhideWhenUsed/>
    <w:rsid w:val="00FD04D4"/>
    <w:pPr>
      <w:spacing w:before="120" w:after="0"/>
    </w:pPr>
    <w:rPr>
      <w:rFonts w:asciiTheme="minorHAnsi" w:hAnsiTheme="minorHAnsi"/>
      <w:b/>
      <w:bCs/>
      <w:sz w:val="24"/>
      <w:szCs w:val="24"/>
    </w:rPr>
  </w:style>
  <w:style w:type="paragraph" w:styleId="TOC2">
    <w:name w:val="toc 2"/>
    <w:basedOn w:val="Normal"/>
    <w:next w:val="Normal"/>
    <w:autoRedefine/>
    <w:uiPriority w:val="39"/>
    <w:semiHidden/>
    <w:unhideWhenUsed/>
    <w:rsid w:val="00FD04D4"/>
    <w:pPr>
      <w:spacing w:after="0"/>
      <w:ind w:left="220"/>
    </w:pPr>
    <w:rPr>
      <w:rFonts w:asciiTheme="minorHAnsi" w:hAnsiTheme="minorHAnsi"/>
      <w:b/>
      <w:bCs/>
    </w:rPr>
  </w:style>
  <w:style w:type="paragraph" w:styleId="TOC3">
    <w:name w:val="toc 3"/>
    <w:basedOn w:val="Normal"/>
    <w:next w:val="Normal"/>
    <w:autoRedefine/>
    <w:uiPriority w:val="39"/>
    <w:semiHidden/>
    <w:unhideWhenUsed/>
    <w:rsid w:val="00FD04D4"/>
    <w:pPr>
      <w:spacing w:after="0"/>
      <w:ind w:left="440"/>
    </w:pPr>
    <w:rPr>
      <w:rFonts w:asciiTheme="minorHAnsi" w:hAnsiTheme="minorHAnsi"/>
    </w:rPr>
  </w:style>
  <w:style w:type="paragraph" w:styleId="TOC4">
    <w:name w:val="toc 4"/>
    <w:basedOn w:val="Normal"/>
    <w:next w:val="Normal"/>
    <w:autoRedefine/>
    <w:uiPriority w:val="39"/>
    <w:semiHidden/>
    <w:unhideWhenUsed/>
    <w:rsid w:val="00FD04D4"/>
    <w:pPr>
      <w:spacing w:after="0"/>
      <w:ind w:left="660"/>
    </w:pPr>
    <w:rPr>
      <w:rFonts w:asciiTheme="minorHAnsi" w:hAnsiTheme="minorHAnsi"/>
      <w:sz w:val="20"/>
      <w:szCs w:val="20"/>
    </w:rPr>
  </w:style>
  <w:style w:type="paragraph" w:styleId="TOC5">
    <w:name w:val="toc 5"/>
    <w:basedOn w:val="Normal"/>
    <w:next w:val="Normal"/>
    <w:autoRedefine/>
    <w:uiPriority w:val="39"/>
    <w:semiHidden/>
    <w:unhideWhenUsed/>
    <w:rsid w:val="00FD04D4"/>
    <w:pPr>
      <w:spacing w:after="0"/>
      <w:ind w:left="880"/>
    </w:pPr>
    <w:rPr>
      <w:rFonts w:asciiTheme="minorHAnsi" w:hAnsiTheme="minorHAnsi"/>
      <w:sz w:val="20"/>
      <w:szCs w:val="20"/>
    </w:rPr>
  </w:style>
  <w:style w:type="paragraph" w:styleId="TOC6">
    <w:name w:val="toc 6"/>
    <w:basedOn w:val="Normal"/>
    <w:next w:val="Normal"/>
    <w:autoRedefine/>
    <w:uiPriority w:val="39"/>
    <w:semiHidden/>
    <w:unhideWhenUsed/>
    <w:rsid w:val="00FD04D4"/>
    <w:pPr>
      <w:spacing w:after="0"/>
      <w:ind w:left="1100"/>
    </w:pPr>
    <w:rPr>
      <w:rFonts w:asciiTheme="minorHAnsi" w:hAnsiTheme="minorHAnsi"/>
      <w:sz w:val="20"/>
      <w:szCs w:val="20"/>
    </w:rPr>
  </w:style>
  <w:style w:type="paragraph" w:styleId="TOC7">
    <w:name w:val="toc 7"/>
    <w:basedOn w:val="Normal"/>
    <w:next w:val="Normal"/>
    <w:autoRedefine/>
    <w:uiPriority w:val="39"/>
    <w:semiHidden/>
    <w:unhideWhenUsed/>
    <w:rsid w:val="00FD04D4"/>
    <w:pPr>
      <w:spacing w:after="0"/>
      <w:ind w:left="1320"/>
    </w:pPr>
    <w:rPr>
      <w:rFonts w:asciiTheme="minorHAnsi" w:hAnsiTheme="minorHAnsi"/>
      <w:sz w:val="20"/>
      <w:szCs w:val="20"/>
    </w:rPr>
  </w:style>
  <w:style w:type="paragraph" w:styleId="TOC8">
    <w:name w:val="toc 8"/>
    <w:basedOn w:val="Normal"/>
    <w:next w:val="Normal"/>
    <w:autoRedefine/>
    <w:uiPriority w:val="39"/>
    <w:semiHidden/>
    <w:unhideWhenUsed/>
    <w:rsid w:val="00FD04D4"/>
    <w:pPr>
      <w:spacing w:after="0"/>
      <w:ind w:left="1540"/>
    </w:pPr>
    <w:rPr>
      <w:rFonts w:asciiTheme="minorHAnsi" w:hAnsiTheme="minorHAnsi"/>
      <w:sz w:val="20"/>
      <w:szCs w:val="20"/>
    </w:rPr>
  </w:style>
  <w:style w:type="paragraph" w:styleId="TOC9">
    <w:name w:val="toc 9"/>
    <w:basedOn w:val="Normal"/>
    <w:next w:val="Normal"/>
    <w:autoRedefine/>
    <w:uiPriority w:val="39"/>
    <w:semiHidden/>
    <w:unhideWhenUsed/>
    <w:rsid w:val="00FD04D4"/>
    <w:pPr>
      <w:spacing w:after="0"/>
      <w:ind w:left="1760"/>
    </w:pPr>
    <w:rPr>
      <w:rFonts w:asciiTheme="minorHAnsi" w:hAnsiTheme="minorHAnsi"/>
      <w:sz w:val="20"/>
      <w:szCs w:val="20"/>
    </w:rPr>
  </w:style>
  <w:style w:type="paragraph" w:styleId="BalloonText">
    <w:name w:val="Balloon Text"/>
    <w:basedOn w:val="Normal"/>
    <w:link w:val="BalloonTextChar"/>
    <w:uiPriority w:val="99"/>
    <w:semiHidden/>
    <w:unhideWhenUsed/>
    <w:rsid w:val="00E900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041"/>
    <w:rPr>
      <w:rFonts w:ascii="Segoe UI" w:eastAsia="Times New Roman" w:hAnsi="Segoe UI" w:cs="Segoe UI"/>
      <w:sz w:val="18"/>
      <w:szCs w:val="18"/>
      <w:lang w:val="en-CA" w:eastAsia="en-CA"/>
    </w:rPr>
  </w:style>
  <w:style w:type="character" w:styleId="CommentReference">
    <w:name w:val="annotation reference"/>
    <w:basedOn w:val="DefaultParagraphFont"/>
    <w:uiPriority w:val="99"/>
    <w:semiHidden/>
    <w:unhideWhenUsed/>
    <w:rsid w:val="006A55EB"/>
    <w:rPr>
      <w:sz w:val="18"/>
      <w:szCs w:val="18"/>
    </w:rPr>
  </w:style>
  <w:style w:type="paragraph" w:styleId="CommentText">
    <w:name w:val="annotation text"/>
    <w:basedOn w:val="Normal"/>
    <w:link w:val="CommentTextChar"/>
    <w:uiPriority w:val="99"/>
    <w:semiHidden/>
    <w:unhideWhenUsed/>
    <w:rsid w:val="006A55EB"/>
    <w:pPr>
      <w:spacing w:line="240" w:lineRule="auto"/>
    </w:pPr>
    <w:rPr>
      <w:sz w:val="24"/>
      <w:szCs w:val="24"/>
    </w:rPr>
  </w:style>
  <w:style w:type="character" w:customStyle="1" w:styleId="CommentTextChar">
    <w:name w:val="Comment Text Char"/>
    <w:basedOn w:val="DefaultParagraphFont"/>
    <w:link w:val="CommentText"/>
    <w:uiPriority w:val="99"/>
    <w:semiHidden/>
    <w:rsid w:val="006A55EB"/>
    <w:rPr>
      <w:rFonts w:ascii="Calibri" w:eastAsia="Times New Roman" w:hAnsi="Calibri" w:cs="Times New Roman"/>
      <w:sz w:val="24"/>
      <w:szCs w:val="24"/>
      <w:lang w:val="en-CA" w:eastAsia="en-CA"/>
    </w:rPr>
  </w:style>
  <w:style w:type="paragraph" w:styleId="CommentSubject">
    <w:name w:val="annotation subject"/>
    <w:basedOn w:val="CommentText"/>
    <w:next w:val="CommentText"/>
    <w:link w:val="CommentSubjectChar"/>
    <w:uiPriority w:val="99"/>
    <w:semiHidden/>
    <w:unhideWhenUsed/>
    <w:rsid w:val="006A55EB"/>
    <w:rPr>
      <w:b/>
      <w:bCs/>
      <w:sz w:val="20"/>
      <w:szCs w:val="20"/>
    </w:rPr>
  </w:style>
  <w:style w:type="character" w:customStyle="1" w:styleId="CommentSubjectChar">
    <w:name w:val="Comment Subject Char"/>
    <w:basedOn w:val="CommentTextChar"/>
    <w:link w:val="CommentSubject"/>
    <w:uiPriority w:val="99"/>
    <w:semiHidden/>
    <w:rsid w:val="006A55EB"/>
    <w:rPr>
      <w:rFonts w:ascii="Calibri" w:eastAsia="Times New Roman" w:hAnsi="Calibri" w:cs="Times New Roman"/>
      <w:b/>
      <w:bCs/>
      <w:sz w:val="20"/>
      <w:szCs w:val="20"/>
      <w:lang w:val="en-CA" w:eastAsia="en-CA"/>
    </w:rPr>
  </w:style>
  <w:style w:type="character" w:styleId="Hyperlink">
    <w:name w:val="Hyperlink"/>
    <w:basedOn w:val="DefaultParagraphFont"/>
    <w:uiPriority w:val="99"/>
    <w:unhideWhenUsed/>
    <w:rsid w:val="002C362E"/>
    <w:rPr>
      <w:color w:val="0000FF"/>
      <w:u w:val="single"/>
    </w:rPr>
  </w:style>
  <w:style w:type="paragraph" w:styleId="NormalWeb">
    <w:name w:val="Normal (Web)"/>
    <w:basedOn w:val="Normal"/>
    <w:uiPriority w:val="99"/>
    <w:semiHidden/>
    <w:unhideWhenUsed/>
    <w:rsid w:val="008C4EF7"/>
    <w:pPr>
      <w:spacing w:before="100" w:beforeAutospacing="1" w:after="100" w:afterAutospacing="1" w:line="240" w:lineRule="auto"/>
    </w:pPr>
    <w:rPr>
      <w:rFonts w:ascii="Times New Roman" w:hAnsi="Times New Roman"/>
      <w:sz w:val="24"/>
      <w:szCs w:val="24"/>
      <w:lang w:val="en-US" w:eastAsia="en-US"/>
    </w:rPr>
  </w:style>
  <w:style w:type="paragraph" w:styleId="FootnoteText">
    <w:name w:val="footnote text"/>
    <w:basedOn w:val="Normal"/>
    <w:link w:val="FootnoteTextChar"/>
    <w:uiPriority w:val="99"/>
    <w:semiHidden/>
    <w:unhideWhenUsed/>
    <w:rsid w:val="00E542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295"/>
    <w:rPr>
      <w:rFonts w:ascii="Calibri" w:eastAsia="Times New Roman" w:hAnsi="Calibri" w:cs="Times New Roman"/>
      <w:sz w:val="20"/>
      <w:szCs w:val="20"/>
      <w:lang w:val="en-CA" w:eastAsia="en-CA"/>
    </w:rPr>
  </w:style>
  <w:style w:type="character" w:styleId="FootnoteReference">
    <w:name w:val="footnote reference"/>
    <w:basedOn w:val="DefaultParagraphFont"/>
    <w:uiPriority w:val="99"/>
    <w:semiHidden/>
    <w:unhideWhenUsed/>
    <w:rsid w:val="00E54295"/>
    <w:rPr>
      <w:vertAlign w:val="superscript"/>
    </w:rPr>
  </w:style>
  <w:style w:type="table" w:styleId="GridTable3">
    <w:name w:val="Grid Table 3"/>
    <w:basedOn w:val="TableNormal"/>
    <w:uiPriority w:val="48"/>
    <w:rsid w:val="00FD735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FD735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2Char">
    <w:name w:val="Heading 2 Char"/>
    <w:basedOn w:val="DefaultParagraphFont"/>
    <w:link w:val="Heading2"/>
    <w:uiPriority w:val="9"/>
    <w:rsid w:val="00BB306D"/>
    <w:rPr>
      <w:rFonts w:asciiTheme="majorHAnsi" w:eastAsiaTheme="majorEastAsia" w:hAnsiTheme="majorHAnsi" w:cstheme="majorBidi"/>
      <w:color w:val="2E74B5" w:themeColor="accent1" w:themeShade="BF"/>
      <w:sz w:val="26"/>
      <w:szCs w:val="26"/>
      <w:lang w:val="en-CA" w:eastAsia="en-CA"/>
    </w:rPr>
  </w:style>
  <w:style w:type="paragraph" w:styleId="Title">
    <w:name w:val="Title"/>
    <w:basedOn w:val="Normal"/>
    <w:next w:val="Normal"/>
    <w:link w:val="TitleChar"/>
    <w:uiPriority w:val="10"/>
    <w:qFormat/>
    <w:rsid w:val="00BB30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306D"/>
    <w:rPr>
      <w:rFonts w:asciiTheme="majorHAnsi" w:eastAsiaTheme="majorEastAsia" w:hAnsiTheme="majorHAnsi" w:cstheme="majorBidi"/>
      <w:spacing w:val="-10"/>
      <w:kern w:val="28"/>
      <w:sz w:val="56"/>
      <w:szCs w:val="56"/>
      <w:lang w:val="en-CA" w:eastAsia="en-CA"/>
    </w:rPr>
  </w:style>
  <w:style w:type="paragraph" w:styleId="Subtitle">
    <w:name w:val="Subtitle"/>
    <w:basedOn w:val="Normal"/>
    <w:next w:val="Normal"/>
    <w:link w:val="SubtitleChar"/>
    <w:uiPriority w:val="11"/>
    <w:qFormat/>
    <w:rsid w:val="00BB306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BB306D"/>
    <w:rPr>
      <w:rFonts w:eastAsiaTheme="minorEastAsia"/>
      <w:color w:val="5A5A5A" w:themeColor="text1" w:themeTint="A5"/>
      <w:spacing w:val="15"/>
      <w:lang w:val="en-CA" w:eastAsia="en-CA"/>
    </w:rPr>
  </w:style>
  <w:style w:type="character" w:styleId="SubtleEmphasis">
    <w:name w:val="Subtle Emphasis"/>
    <w:basedOn w:val="DefaultParagraphFont"/>
    <w:uiPriority w:val="19"/>
    <w:qFormat/>
    <w:rsid w:val="00BB306D"/>
    <w:rPr>
      <w:i/>
      <w:iCs/>
      <w:color w:val="404040" w:themeColor="text1" w:themeTint="BF"/>
    </w:rPr>
  </w:style>
  <w:style w:type="character" w:customStyle="1" w:styleId="Heading3Char">
    <w:name w:val="Heading 3 Char"/>
    <w:basedOn w:val="DefaultParagraphFont"/>
    <w:link w:val="Heading3"/>
    <w:uiPriority w:val="9"/>
    <w:rsid w:val="001042DF"/>
    <w:rPr>
      <w:rFonts w:asciiTheme="majorHAnsi" w:eastAsiaTheme="majorEastAsia" w:hAnsiTheme="majorHAnsi" w:cstheme="majorBidi"/>
      <w:color w:val="1F4D78" w:themeColor="accent1" w:themeShade="7F"/>
      <w:sz w:val="24"/>
      <w:szCs w:val="24"/>
      <w:lang w:val="en-CA" w:eastAsia="en-CA"/>
    </w:rPr>
  </w:style>
  <w:style w:type="character" w:styleId="Emphasis">
    <w:name w:val="Emphasis"/>
    <w:basedOn w:val="DefaultParagraphFont"/>
    <w:uiPriority w:val="20"/>
    <w:qFormat/>
    <w:rsid w:val="00104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6622">
      <w:bodyDiv w:val="1"/>
      <w:marLeft w:val="0"/>
      <w:marRight w:val="0"/>
      <w:marTop w:val="0"/>
      <w:marBottom w:val="0"/>
      <w:divBdr>
        <w:top w:val="none" w:sz="0" w:space="0" w:color="auto"/>
        <w:left w:val="none" w:sz="0" w:space="0" w:color="auto"/>
        <w:bottom w:val="none" w:sz="0" w:space="0" w:color="auto"/>
        <w:right w:val="none" w:sz="0" w:space="0" w:color="auto"/>
      </w:divBdr>
    </w:div>
    <w:div w:id="30500001">
      <w:bodyDiv w:val="1"/>
      <w:marLeft w:val="0"/>
      <w:marRight w:val="0"/>
      <w:marTop w:val="0"/>
      <w:marBottom w:val="0"/>
      <w:divBdr>
        <w:top w:val="none" w:sz="0" w:space="0" w:color="auto"/>
        <w:left w:val="none" w:sz="0" w:space="0" w:color="auto"/>
        <w:bottom w:val="none" w:sz="0" w:space="0" w:color="auto"/>
        <w:right w:val="none" w:sz="0" w:space="0" w:color="auto"/>
      </w:divBdr>
    </w:div>
    <w:div w:id="36584473">
      <w:bodyDiv w:val="1"/>
      <w:marLeft w:val="0"/>
      <w:marRight w:val="0"/>
      <w:marTop w:val="0"/>
      <w:marBottom w:val="0"/>
      <w:divBdr>
        <w:top w:val="none" w:sz="0" w:space="0" w:color="auto"/>
        <w:left w:val="none" w:sz="0" w:space="0" w:color="auto"/>
        <w:bottom w:val="none" w:sz="0" w:space="0" w:color="auto"/>
        <w:right w:val="none" w:sz="0" w:space="0" w:color="auto"/>
      </w:divBdr>
    </w:div>
    <w:div w:id="305010896">
      <w:bodyDiv w:val="1"/>
      <w:marLeft w:val="0"/>
      <w:marRight w:val="0"/>
      <w:marTop w:val="0"/>
      <w:marBottom w:val="0"/>
      <w:divBdr>
        <w:top w:val="none" w:sz="0" w:space="0" w:color="auto"/>
        <w:left w:val="none" w:sz="0" w:space="0" w:color="auto"/>
        <w:bottom w:val="none" w:sz="0" w:space="0" w:color="auto"/>
        <w:right w:val="none" w:sz="0" w:space="0" w:color="auto"/>
      </w:divBdr>
    </w:div>
    <w:div w:id="334502864">
      <w:bodyDiv w:val="1"/>
      <w:marLeft w:val="0"/>
      <w:marRight w:val="0"/>
      <w:marTop w:val="0"/>
      <w:marBottom w:val="0"/>
      <w:divBdr>
        <w:top w:val="none" w:sz="0" w:space="0" w:color="auto"/>
        <w:left w:val="none" w:sz="0" w:space="0" w:color="auto"/>
        <w:bottom w:val="none" w:sz="0" w:space="0" w:color="auto"/>
        <w:right w:val="none" w:sz="0" w:space="0" w:color="auto"/>
      </w:divBdr>
    </w:div>
    <w:div w:id="366219930">
      <w:bodyDiv w:val="1"/>
      <w:marLeft w:val="0"/>
      <w:marRight w:val="0"/>
      <w:marTop w:val="0"/>
      <w:marBottom w:val="0"/>
      <w:divBdr>
        <w:top w:val="none" w:sz="0" w:space="0" w:color="auto"/>
        <w:left w:val="none" w:sz="0" w:space="0" w:color="auto"/>
        <w:bottom w:val="none" w:sz="0" w:space="0" w:color="auto"/>
        <w:right w:val="none" w:sz="0" w:space="0" w:color="auto"/>
      </w:divBdr>
    </w:div>
    <w:div w:id="421803032">
      <w:bodyDiv w:val="1"/>
      <w:marLeft w:val="0"/>
      <w:marRight w:val="0"/>
      <w:marTop w:val="0"/>
      <w:marBottom w:val="0"/>
      <w:divBdr>
        <w:top w:val="none" w:sz="0" w:space="0" w:color="auto"/>
        <w:left w:val="none" w:sz="0" w:space="0" w:color="auto"/>
        <w:bottom w:val="none" w:sz="0" w:space="0" w:color="auto"/>
        <w:right w:val="none" w:sz="0" w:space="0" w:color="auto"/>
      </w:divBdr>
    </w:div>
    <w:div w:id="655108459">
      <w:bodyDiv w:val="1"/>
      <w:marLeft w:val="0"/>
      <w:marRight w:val="0"/>
      <w:marTop w:val="0"/>
      <w:marBottom w:val="0"/>
      <w:divBdr>
        <w:top w:val="none" w:sz="0" w:space="0" w:color="auto"/>
        <w:left w:val="none" w:sz="0" w:space="0" w:color="auto"/>
        <w:bottom w:val="none" w:sz="0" w:space="0" w:color="auto"/>
        <w:right w:val="none" w:sz="0" w:space="0" w:color="auto"/>
      </w:divBdr>
    </w:div>
    <w:div w:id="799151236">
      <w:bodyDiv w:val="1"/>
      <w:marLeft w:val="0"/>
      <w:marRight w:val="0"/>
      <w:marTop w:val="0"/>
      <w:marBottom w:val="0"/>
      <w:divBdr>
        <w:top w:val="none" w:sz="0" w:space="0" w:color="auto"/>
        <w:left w:val="none" w:sz="0" w:space="0" w:color="auto"/>
        <w:bottom w:val="none" w:sz="0" w:space="0" w:color="auto"/>
        <w:right w:val="none" w:sz="0" w:space="0" w:color="auto"/>
      </w:divBdr>
    </w:div>
    <w:div w:id="925072182">
      <w:bodyDiv w:val="1"/>
      <w:marLeft w:val="0"/>
      <w:marRight w:val="0"/>
      <w:marTop w:val="0"/>
      <w:marBottom w:val="0"/>
      <w:divBdr>
        <w:top w:val="none" w:sz="0" w:space="0" w:color="auto"/>
        <w:left w:val="none" w:sz="0" w:space="0" w:color="auto"/>
        <w:bottom w:val="none" w:sz="0" w:space="0" w:color="auto"/>
        <w:right w:val="none" w:sz="0" w:space="0" w:color="auto"/>
      </w:divBdr>
    </w:div>
    <w:div w:id="1103720942">
      <w:bodyDiv w:val="1"/>
      <w:marLeft w:val="0"/>
      <w:marRight w:val="0"/>
      <w:marTop w:val="0"/>
      <w:marBottom w:val="0"/>
      <w:divBdr>
        <w:top w:val="none" w:sz="0" w:space="0" w:color="auto"/>
        <w:left w:val="none" w:sz="0" w:space="0" w:color="auto"/>
        <w:bottom w:val="none" w:sz="0" w:space="0" w:color="auto"/>
        <w:right w:val="none" w:sz="0" w:space="0" w:color="auto"/>
      </w:divBdr>
    </w:div>
    <w:div w:id="1217088641">
      <w:bodyDiv w:val="1"/>
      <w:marLeft w:val="0"/>
      <w:marRight w:val="0"/>
      <w:marTop w:val="0"/>
      <w:marBottom w:val="0"/>
      <w:divBdr>
        <w:top w:val="none" w:sz="0" w:space="0" w:color="auto"/>
        <w:left w:val="none" w:sz="0" w:space="0" w:color="auto"/>
        <w:bottom w:val="none" w:sz="0" w:space="0" w:color="auto"/>
        <w:right w:val="none" w:sz="0" w:space="0" w:color="auto"/>
      </w:divBdr>
    </w:div>
    <w:div w:id="1231161081">
      <w:bodyDiv w:val="1"/>
      <w:marLeft w:val="0"/>
      <w:marRight w:val="0"/>
      <w:marTop w:val="0"/>
      <w:marBottom w:val="0"/>
      <w:divBdr>
        <w:top w:val="none" w:sz="0" w:space="0" w:color="auto"/>
        <w:left w:val="none" w:sz="0" w:space="0" w:color="auto"/>
        <w:bottom w:val="none" w:sz="0" w:space="0" w:color="auto"/>
        <w:right w:val="none" w:sz="0" w:space="0" w:color="auto"/>
      </w:divBdr>
    </w:div>
    <w:div w:id="1283997966">
      <w:bodyDiv w:val="1"/>
      <w:marLeft w:val="0"/>
      <w:marRight w:val="0"/>
      <w:marTop w:val="0"/>
      <w:marBottom w:val="0"/>
      <w:divBdr>
        <w:top w:val="none" w:sz="0" w:space="0" w:color="auto"/>
        <w:left w:val="none" w:sz="0" w:space="0" w:color="auto"/>
        <w:bottom w:val="none" w:sz="0" w:space="0" w:color="auto"/>
        <w:right w:val="none" w:sz="0" w:space="0" w:color="auto"/>
      </w:divBdr>
    </w:div>
    <w:div w:id="1363360019">
      <w:bodyDiv w:val="1"/>
      <w:marLeft w:val="0"/>
      <w:marRight w:val="0"/>
      <w:marTop w:val="0"/>
      <w:marBottom w:val="0"/>
      <w:divBdr>
        <w:top w:val="none" w:sz="0" w:space="0" w:color="auto"/>
        <w:left w:val="none" w:sz="0" w:space="0" w:color="auto"/>
        <w:bottom w:val="none" w:sz="0" w:space="0" w:color="auto"/>
        <w:right w:val="none" w:sz="0" w:space="0" w:color="auto"/>
      </w:divBdr>
    </w:div>
    <w:div w:id="1408259581">
      <w:bodyDiv w:val="1"/>
      <w:marLeft w:val="0"/>
      <w:marRight w:val="0"/>
      <w:marTop w:val="0"/>
      <w:marBottom w:val="0"/>
      <w:divBdr>
        <w:top w:val="none" w:sz="0" w:space="0" w:color="auto"/>
        <w:left w:val="none" w:sz="0" w:space="0" w:color="auto"/>
        <w:bottom w:val="none" w:sz="0" w:space="0" w:color="auto"/>
        <w:right w:val="none" w:sz="0" w:space="0" w:color="auto"/>
      </w:divBdr>
    </w:div>
    <w:div w:id="1515529768">
      <w:bodyDiv w:val="1"/>
      <w:marLeft w:val="0"/>
      <w:marRight w:val="0"/>
      <w:marTop w:val="0"/>
      <w:marBottom w:val="0"/>
      <w:divBdr>
        <w:top w:val="none" w:sz="0" w:space="0" w:color="auto"/>
        <w:left w:val="none" w:sz="0" w:space="0" w:color="auto"/>
        <w:bottom w:val="none" w:sz="0" w:space="0" w:color="auto"/>
        <w:right w:val="none" w:sz="0" w:space="0" w:color="auto"/>
      </w:divBdr>
    </w:div>
    <w:div w:id="1521317163">
      <w:bodyDiv w:val="1"/>
      <w:marLeft w:val="0"/>
      <w:marRight w:val="0"/>
      <w:marTop w:val="0"/>
      <w:marBottom w:val="0"/>
      <w:divBdr>
        <w:top w:val="none" w:sz="0" w:space="0" w:color="auto"/>
        <w:left w:val="none" w:sz="0" w:space="0" w:color="auto"/>
        <w:bottom w:val="none" w:sz="0" w:space="0" w:color="auto"/>
        <w:right w:val="none" w:sz="0" w:space="0" w:color="auto"/>
      </w:divBdr>
    </w:div>
    <w:div w:id="1538353096">
      <w:bodyDiv w:val="1"/>
      <w:marLeft w:val="0"/>
      <w:marRight w:val="0"/>
      <w:marTop w:val="0"/>
      <w:marBottom w:val="0"/>
      <w:divBdr>
        <w:top w:val="none" w:sz="0" w:space="0" w:color="auto"/>
        <w:left w:val="none" w:sz="0" w:space="0" w:color="auto"/>
        <w:bottom w:val="none" w:sz="0" w:space="0" w:color="auto"/>
        <w:right w:val="none" w:sz="0" w:space="0" w:color="auto"/>
      </w:divBdr>
    </w:div>
    <w:div w:id="1561745673">
      <w:bodyDiv w:val="1"/>
      <w:marLeft w:val="0"/>
      <w:marRight w:val="0"/>
      <w:marTop w:val="0"/>
      <w:marBottom w:val="0"/>
      <w:divBdr>
        <w:top w:val="none" w:sz="0" w:space="0" w:color="auto"/>
        <w:left w:val="none" w:sz="0" w:space="0" w:color="auto"/>
        <w:bottom w:val="none" w:sz="0" w:space="0" w:color="auto"/>
        <w:right w:val="none" w:sz="0" w:space="0" w:color="auto"/>
      </w:divBdr>
    </w:div>
    <w:div w:id="1592737094">
      <w:bodyDiv w:val="1"/>
      <w:marLeft w:val="0"/>
      <w:marRight w:val="0"/>
      <w:marTop w:val="0"/>
      <w:marBottom w:val="0"/>
      <w:divBdr>
        <w:top w:val="none" w:sz="0" w:space="0" w:color="auto"/>
        <w:left w:val="none" w:sz="0" w:space="0" w:color="auto"/>
        <w:bottom w:val="none" w:sz="0" w:space="0" w:color="auto"/>
        <w:right w:val="none" w:sz="0" w:space="0" w:color="auto"/>
      </w:divBdr>
    </w:div>
    <w:div w:id="1597597294">
      <w:bodyDiv w:val="1"/>
      <w:marLeft w:val="0"/>
      <w:marRight w:val="0"/>
      <w:marTop w:val="0"/>
      <w:marBottom w:val="0"/>
      <w:divBdr>
        <w:top w:val="none" w:sz="0" w:space="0" w:color="auto"/>
        <w:left w:val="none" w:sz="0" w:space="0" w:color="auto"/>
        <w:bottom w:val="none" w:sz="0" w:space="0" w:color="auto"/>
        <w:right w:val="none" w:sz="0" w:space="0" w:color="auto"/>
      </w:divBdr>
    </w:div>
    <w:div w:id="1758550793">
      <w:bodyDiv w:val="1"/>
      <w:marLeft w:val="0"/>
      <w:marRight w:val="0"/>
      <w:marTop w:val="0"/>
      <w:marBottom w:val="0"/>
      <w:divBdr>
        <w:top w:val="none" w:sz="0" w:space="0" w:color="auto"/>
        <w:left w:val="none" w:sz="0" w:space="0" w:color="auto"/>
        <w:bottom w:val="none" w:sz="0" w:space="0" w:color="auto"/>
        <w:right w:val="none" w:sz="0" w:space="0" w:color="auto"/>
      </w:divBdr>
    </w:div>
    <w:div w:id="1758625633">
      <w:bodyDiv w:val="1"/>
      <w:marLeft w:val="0"/>
      <w:marRight w:val="0"/>
      <w:marTop w:val="0"/>
      <w:marBottom w:val="0"/>
      <w:divBdr>
        <w:top w:val="none" w:sz="0" w:space="0" w:color="auto"/>
        <w:left w:val="none" w:sz="0" w:space="0" w:color="auto"/>
        <w:bottom w:val="none" w:sz="0" w:space="0" w:color="auto"/>
        <w:right w:val="none" w:sz="0" w:space="0" w:color="auto"/>
      </w:divBdr>
    </w:div>
    <w:div w:id="1820926386">
      <w:bodyDiv w:val="1"/>
      <w:marLeft w:val="0"/>
      <w:marRight w:val="0"/>
      <w:marTop w:val="0"/>
      <w:marBottom w:val="0"/>
      <w:divBdr>
        <w:top w:val="none" w:sz="0" w:space="0" w:color="auto"/>
        <w:left w:val="none" w:sz="0" w:space="0" w:color="auto"/>
        <w:bottom w:val="none" w:sz="0" w:space="0" w:color="auto"/>
        <w:right w:val="none" w:sz="0" w:space="0" w:color="auto"/>
      </w:divBdr>
    </w:div>
    <w:div w:id="1947611802">
      <w:bodyDiv w:val="1"/>
      <w:marLeft w:val="0"/>
      <w:marRight w:val="0"/>
      <w:marTop w:val="0"/>
      <w:marBottom w:val="0"/>
      <w:divBdr>
        <w:top w:val="none" w:sz="0" w:space="0" w:color="auto"/>
        <w:left w:val="none" w:sz="0" w:space="0" w:color="auto"/>
        <w:bottom w:val="none" w:sz="0" w:space="0" w:color="auto"/>
        <w:right w:val="none" w:sz="0" w:space="0" w:color="auto"/>
      </w:divBdr>
    </w:div>
    <w:div w:id="1973171479">
      <w:bodyDiv w:val="1"/>
      <w:marLeft w:val="0"/>
      <w:marRight w:val="0"/>
      <w:marTop w:val="0"/>
      <w:marBottom w:val="0"/>
      <w:divBdr>
        <w:top w:val="none" w:sz="0" w:space="0" w:color="auto"/>
        <w:left w:val="none" w:sz="0" w:space="0" w:color="auto"/>
        <w:bottom w:val="none" w:sz="0" w:space="0" w:color="auto"/>
        <w:right w:val="none" w:sz="0" w:space="0" w:color="auto"/>
      </w:divBdr>
    </w:div>
    <w:div w:id="1976450921">
      <w:bodyDiv w:val="1"/>
      <w:marLeft w:val="0"/>
      <w:marRight w:val="0"/>
      <w:marTop w:val="0"/>
      <w:marBottom w:val="0"/>
      <w:divBdr>
        <w:top w:val="none" w:sz="0" w:space="0" w:color="auto"/>
        <w:left w:val="none" w:sz="0" w:space="0" w:color="auto"/>
        <w:bottom w:val="none" w:sz="0" w:space="0" w:color="auto"/>
        <w:right w:val="none" w:sz="0" w:space="0" w:color="auto"/>
      </w:divBdr>
    </w:div>
    <w:div w:id="1990748323">
      <w:bodyDiv w:val="1"/>
      <w:marLeft w:val="0"/>
      <w:marRight w:val="0"/>
      <w:marTop w:val="0"/>
      <w:marBottom w:val="0"/>
      <w:divBdr>
        <w:top w:val="none" w:sz="0" w:space="0" w:color="auto"/>
        <w:left w:val="none" w:sz="0" w:space="0" w:color="auto"/>
        <w:bottom w:val="none" w:sz="0" w:space="0" w:color="auto"/>
        <w:right w:val="none" w:sz="0" w:space="0" w:color="auto"/>
      </w:divBdr>
    </w:div>
    <w:div w:id="2105880094">
      <w:bodyDiv w:val="1"/>
      <w:marLeft w:val="0"/>
      <w:marRight w:val="0"/>
      <w:marTop w:val="0"/>
      <w:marBottom w:val="0"/>
      <w:divBdr>
        <w:top w:val="none" w:sz="0" w:space="0" w:color="auto"/>
        <w:left w:val="none" w:sz="0" w:space="0" w:color="auto"/>
        <w:bottom w:val="none" w:sz="0" w:space="0" w:color="auto"/>
        <w:right w:val="none" w:sz="0" w:space="0" w:color="auto"/>
      </w:divBdr>
    </w:div>
    <w:div w:id="2122147107">
      <w:bodyDiv w:val="1"/>
      <w:marLeft w:val="0"/>
      <w:marRight w:val="0"/>
      <w:marTop w:val="0"/>
      <w:marBottom w:val="0"/>
      <w:divBdr>
        <w:top w:val="none" w:sz="0" w:space="0" w:color="auto"/>
        <w:left w:val="none" w:sz="0" w:space="0" w:color="auto"/>
        <w:bottom w:val="none" w:sz="0" w:space="0" w:color="auto"/>
        <w:right w:val="none" w:sz="0" w:space="0" w:color="auto"/>
      </w:divBdr>
    </w:div>
    <w:div w:id="21323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4/relationships/chartEx" Target="charts/chartEx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 Id="rId22" Type="http://schemas.openxmlformats.org/officeDocument/2006/relationships/chart" Target="charts/chart1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400" b="1">
                <a:solidFill>
                  <a:sysClr val="windowText" lastClr="000000"/>
                </a:solidFill>
                <a:latin typeface="Arial" panose="020B0604020202020204" pitchFamily="34" charset="0"/>
                <a:cs typeface="Arial" panose="020B0604020202020204" pitchFamily="34" charset="0"/>
              </a:rPr>
              <a:t>Full-time</a:t>
            </a:r>
            <a:r>
              <a:rPr lang="en-US" sz="1400" b="1" baseline="0">
                <a:solidFill>
                  <a:sysClr val="windowText" lastClr="000000"/>
                </a:solidFill>
                <a:latin typeface="Arial" panose="020B0604020202020204" pitchFamily="34" charset="0"/>
                <a:cs typeface="Arial" panose="020B0604020202020204" pitchFamily="34" charset="0"/>
              </a:rPr>
              <a:t> Equivalent Enrolment</a:t>
            </a:r>
            <a:endParaRPr lang="en-US" sz="14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62706718215492"/>
          <c:y val="0.20002249718785148"/>
          <c:w val="0.82381252150679107"/>
          <c:h val="0.5042881749156356"/>
        </c:manualLayout>
      </c:layout>
      <c:bar3DChart>
        <c:barDir val="col"/>
        <c:grouping val="stacked"/>
        <c:varyColors val="0"/>
        <c:ser>
          <c:idx val="0"/>
          <c:order val="0"/>
          <c:tx>
            <c:strRef>
              <c:f>Sheet1!$B$1</c:f>
              <c:strCache>
                <c:ptCount val="1"/>
                <c:pt idx="0">
                  <c:v>Undergraduate</c:v>
                </c:pt>
              </c:strCache>
            </c:strRef>
          </c:tx>
          <c:spPr>
            <a:solidFill>
              <a:srgbClr val="154734"/>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2016/2017 Actual</c:v>
                </c:pt>
                <c:pt idx="1">
                  <c:v>2017/2018 Actual</c:v>
                </c:pt>
                <c:pt idx="2">
                  <c:v>2018/2019 Budget</c:v>
                </c:pt>
                <c:pt idx="3">
                  <c:v>2018/2019 Actual</c:v>
                </c:pt>
              </c:strCache>
            </c:strRef>
          </c:cat>
          <c:val>
            <c:numRef>
              <c:f>Sheet1!$B$2:$B$5</c:f>
              <c:numCache>
                <c:formatCode>#,##0.00</c:formatCode>
                <c:ptCount val="4"/>
                <c:pt idx="0">
                  <c:v>7955.65</c:v>
                </c:pt>
                <c:pt idx="1">
                  <c:v>8500.2000000000007</c:v>
                </c:pt>
                <c:pt idx="2">
                  <c:v>8794</c:v>
                </c:pt>
                <c:pt idx="3">
                  <c:v>9110</c:v>
                </c:pt>
              </c:numCache>
            </c:numRef>
          </c:val>
          <c:extLst>
            <c:ext xmlns:c16="http://schemas.microsoft.com/office/drawing/2014/chart" uri="{C3380CC4-5D6E-409C-BE32-E72D297353CC}">
              <c16:uniqueId val="{00000000-FE19-4FD7-BA99-FC3E2178F8DE}"/>
            </c:ext>
          </c:extLst>
        </c:ser>
        <c:ser>
          <c:idx val="1"/>
          <c:order val="1"/>
          <c:tx>
            <c:strRef>
              <c:f>Sheet1!$C$1</c:f>
              <c:strCache>
                <c:ptCount val="1"/>
                <c:pt idx="0">
                  <c:v>Graduate</c:v>
                </c:pt>
              </c:strCache>
            </c:strRef>
          </c:tx>
          <c:spPr>
            <a:solidFill>
              <a:srgbClr val="5B7F95"/>
            </a:solidFill>
            <a:ln>
              <a:noFill/>
            </a:ln>
            <a:effectLst/>
            <a:scene3d>
              <a:camera prst="orthographicFront"/>
              <a:lightRig rig="threePt" dir="t"/>
            </a:scene3d>
            <a:sp3d>
              <a:bevelT/>
              <a:bevelB/>
            </a:sp3d>
          </c:spPr>
          <c:invertIfNegative val="0"/>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2016/2017 Actual</c:v>
                </c:pt>
                <c:pt idx="1">
                  <c:v>2017/2018 Actual</c:v>
                </c:pt>
                <c:pt idx="2">
                  <c:v>2018/2019 Budget</c:v>
                </c:pt>
                <c:pt idx="3">
                  <c:v>2018/2019 Actual</c:v>
                </c:pt>
              </c:strCache>
            </c:strRef>
          </c:cat>
          <c:val>
            <c:numRef>
              <c:f>Sheet1!$C$2:$C$5</c:f>
              <c:numCache>
                <c:formatCode>#,##0.00</c:formatCode>
                <c:ptCount val="4"/>
                <c:pt idx="0">
                  <c:v>399.8</c:v>
                </c:pt>
                <c:pt idx="1">
                  <c:v>460</c:v>
                </c:pt>
                <c:pt idx="2">
                  <c:v>460</c:v>
                </c:pt>
                <c:pt idx="3">
                  <c:v>539.79999999999995</c:v>
                </c:pt>
              </c:numCache>
            </c:numRef>
          </c:val>
          <c:extLst>
            <c:ext xmlns:c16="http://schemas.microsoft.com/office/drawing/2014/chart" uri="{C3380CC4-5D6E-409C-BE32-E72D297353CC}">
              <c16:uniqueId val="{00000001-FE19-4FD7-BA99-FC3E2178F8DE}"/>
            </c:ext>
          </c:extLst>
        </c:ser>
        <c:dLbls>
          <c:showLegendKey val="0"/>
          <c:showVal val="1"/>
          <c:showCatName val="0"/>
          <c:showSerName val="0"/>
          <c:showPercent val="0"/>
          <c:showBubbleSize val="0"/>
        </c:dLbls>
        <c:gapWidth val="75"/>
        <c:gapDepth val="100"/>
        <c:shape val="box"/>
        <c:axId val="587871296"/>
        <c:axId val="587879824"/>
        <c:axId val="0"/>
      </c:bar3DChart>
      <c:catAx>
        <c:axId val="5878712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7879824"/>
        <c:crosses val="autoZero"/>
        <c:auto val="1"/>
        <c:lblAlgn val="ctr"/>
        <c:lblOffset val="100"/>
        <c:noMultiLvlLbl val="0"/>
      </c:catAx>
      <c:valAx>
        <c:axId val="587879824"/>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87871296"/>
        <c:crosses val="autoZero"/>
        <c:crossBetween val="between"/>
        <c:majorUnit val="2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031C-4A95-8567-89E06BF6C14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031C-4A95-8567-89E06BF6C14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031C-4A95-8567-89E06BF6C14B}"/>
              </c:ext>
            </c:extLst>
          </c:dPt>
          <c:dLbls>
            <c:dLbl>
              <c:idx val="0"/>
              <c:dLblPos val="outEnd"/>
              <c:showLegendKey val="0"/>
              <c:showVal val="0"/>
              <c:showCatName val="1"/>
              <c:showSerName val="0"/>
              <c:showPercent val="1"/>
              <c:showBubbleSize val="0"/>
              <c:extLst>
                <c:ext xmlns:c15="http://schemas.microsoft.com/office/drawing/2012/chart" uri="{CE6537A1-D6FC-4f65-9D91-7224C49458BB}">
                  <c15:layout>
                    <c:manualLayout>
                      <c:w val="0.2230263866451265"/>
                      <c:h val="0.15964912280701754"/>
                    </c:manualLayout>
                  </c15:layout>
                </c:ext>
                <c:ext xmlns:c16="http://schemas.microsoft.com/office/drawing/2014/chart" uri="{C3380CC4-5D6E-409C-BE32-E72D297353CC}">
                  <c16:uniqueId val="{00000001-031C-4A95-8567-89E06BF6C14B}"/>
                </c:ext>
              </c:extLst>
            </c:dLbl>
            <c:dLbl>
              <c:idx val="2"/>
              <c:layout>
                <c:manualLayout>
                  <c:x val="-0.19816900512637858"/>
                  <c:y val="3.508771929824561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35442110931610121"/>
                      <c:h val="0.15292413009777286"/>
                    </c:manualLayout>
                  </c15:layout>
                </c:ext>
                <c:ext xmlns:c16="http://schemas.microsoft.com/office/drawing/2014/chart" uri="{C3380CC4-5D6E-409C-BE32-E72D297353CC}">
                  <c16:uniqueId val="{00000005-031C-4A95-8567-89E06BF6C14B}"/>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Government Grants</c:v>
                </c:pt>
                <c:pt idx="1">
                  <c:v>Tuition fees</c:v>
                </c:pt>
                <c:pt idx="2">
                  <c:v>Miscellaneous revenue</c:v>
                </c:pt>
              </c:strCache>
            </c:strRef>
          </c:cat>
          <c:val>
            <c:numRef>
              <c:f>Sheet1!$B$2:$B$4</c:f>
              <c:numCache>
                <c:formatCode>General</c:formatCode>
                <c:ptCount val="3"/>
                <c:pt idx="0">
                  <c:v>62592</c:v>
                </c:pt>
                <c:pt idx="1">
                  <c:v>75490</c:v>
                </c:pt>
                <c:pt idx="2">
                  <c:v>2192</c:v>
                </c:pt>
              </c:numCache>
            </c:numRef>
          </c:val>
          <c:extLst>
            <c:ext xmlns:c16="http://schemas.microsoft.com/office/drawing/2014/chart" uri="{C3380CC4-5D6E-409C-BE32-E72D297353CC}">
              <c16:uniqueId val="{00000006-031C-4A95-8567-89E06BF6C14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Expenses</c:v>
                </c:pt>
              </c:strCache>
            </c:strRef>
          </c:tx>
          <c:spPr>
            <a:scene3d>
              <a:camera prst="orthographicFront"/>
              <a:lightRig rig="threePt" dir="t"/>
            </a:scene3d>
            <a:sp3d>
              <a:bevelT/>
              <a:bevelB/>
              <a:contourClr>
                <a:srgbClr val="000000"/>
              </a:contourClr>
            </a:sp3d>
          </c:spPr>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DE09-4412-9BCB-1DC44B19EDA6}"/>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DE09-4412-9BCB-1DC44B19EDA6}"/>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DE09-4412-9BCB-1DC44B19EDA6}"/>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DE09-4412-9BCB-1DC44B19EDA6}"/>
              </c:ext>
            </c:extLst>
          </c:dPt>
          <c:dLbls>
            <c:dLbl>
              <c:idx val="1"/>
              <c:layout>
                <c:manualLayout>
                  <c:x val="8.5078506191587085E-8"/>
                  <c:y val="-5.3639846743295021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756564019448946"/>
                      <c:h val="0.15689655172413794"/>
                    </c:manualLayout>
                  </c15:layout>
                </c:ext>
                <c:ext xmlns:c16="http://schemas.microsoft.com/office/drawing/2014/chart" uri="{C3380CC4-5D6E-409C-BE32-E72D297353CC}">
                  <c16:uniqueId val="{00000003-DE09-4412-9BCB-1DC44B19EDA6}"/>
                </c:ext>
              </c:extLst>
            </c:dLbl>
            <c:dLbl>
              <c:idx val="2"/>
              <c:layout>
                <c:manualLayout>
                  <c:x val="-3.2697541656563599E-2"/>
                  <c:y val="0.12643693245240897"/>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4062668827660724"/>
                      <c:h val="0.20536398467432948"/>
                    </c:manualLayout>
                  </c15:layout>
                </c:ext>
                <c:ext xmlns:c16="http://schemas.microsoft.com/office/drawing/2014/chart" uri="{C3380CC4-5D6E-409C-BE32-E72D297353CC}">
                  <c16:uniqueId val="{00000005-DE09-4412-9BCB-1DC44B19EDA6}"/>
                </c:ext>
              </c:extLst>
            </c:dLbl>
            <c:dLbl>
              <c:idx val="3"/>
              <c:layout>
                <c:manualLayout>
                  <c:x val="-2.1609855494157219E-2"/>
                  <c:y val="1.1494403716776782E-2"/>
                </c:manualLayout>
              </c:layout>
              <c:dLblPos val="bestFit"/>
              <c:showLegendKey val="0"/>
              <c:showVal val="0"/>
              <c:showCatName val="1"/>
              <c:showSerName val="0"/>
              <c:showPercent val="1"/>
              <c:showBubbleSize val="0"/>
              <c:extLst>
                <c:ext xmlns:c15="http://schemas.microsoft.com/office/drawing/2012/chart" uri="{CE6537A1-D6FC-4f65-9D91-7224C49458BB}">
                  <c15:layout>
                    <c:manualLayout>
                      <c:w val="0.29170186789860342"/>
                      <c:h val="0.20536398467432948"/>
                    </c:manualLayout>
                  </c15:layout>
                </c:ext>
                <c:ext xmlns:c16="http://schemas.microsoft.com/office/drawing/2014/chart" uri="{C3380CC4-5D6E-409C-BE32-E72D297353CC}">
                  <c16:uniqueId val="{00000007-DE09-4412-9BCB-1DC44B19EDA6}"/>
                </c:ext>
              </c:extLst>
            </c:dLbl>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Instructional staff</c:v>
                </c:pt>
                <c:pt idx="1">
                  <c:v>Non-instructional staff</c:v>
                </c:pt>
                <c:pt idx="2">
                  <c:v>Student financial aid and scholarships</c:v>
                </c:pt>
                <c:pt idx="3">
                  <c:v>Non-staff expense net of cost recoveries</c:v>
                </c:pt>
              </c:strCache>
            </c:strRef>
          </c:cat>
          <c:val>
            <c:numRef>
              <c:f>Sheet1!$B$2:$B$5</c:f>
              <c:numCache>
                <c:formatCode>General</c:formatCode>
                <c:ptCount val="4"/>
                <c:pt idx="0">
                  <c:v>70053</c:v>
                </c:pt>
                <c:pt idx="1">
                  <c:v>42798</c:v>
                </c:pt>
                <c:pt idx="2">
                  <c:v>12493</c:v>
                </c:pt>
                <c:pt idx="3">
                  <c:v>14549</c:v>
                </c:pt>
              </c:numCache>
            </c:numRef>
          </c:val>
          <c:extLst>
            <c:ext xmlns:c16="http://schemas.microsoft.com/office/drawing/2014/chart" uri="{C3380CC4-5D6E-409C-BE32-E72D297353CC}">
              <c16:uniqueId val="{00000008-DE09-4412-9BCB-1DC44B19EDA6}"/>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84043340736254E-2"/>
          <c:y val="8.4756041563918971E-2"/>
          <c:w val="0.89487751531058612"/>
          <c:h val="0.91435825921327873"/>
        </c:manualLayout>
      </c:layout>
      <c:pie3DChart>
        <c:varyColors val="1"/>
        <c:ser>
          <c:idx val="0"/>
          <c:order val="0"/>
          <c:tx>
            <c:strRef>
              <c:f>Sheet1!$B$1</c:f>
              <c:strCache>
                <c:ptCount val="1"/>
                <c:pt idx="0">
                  <c:v>Revenue</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1EC4-4992-9A7D-5F6FEE4CF7D5}"/>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1EC4-4992-9A7D-5F6FEE4CF7D5}"/>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1EC4-4992-9A7D-5F6FEE4CF7D5}"/>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1EC4-4992-9A7D-5F6FEE4CF7D5}"/>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1EC4-4992-9A7D-5F6FEE4CF7D5}"/>
              </c:ext>
            </c:extLst>
          </c:dPt>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Athletics</c:v>
                </c:pt>
                <c:pt idx="1">
                  <c:v>Housing</c:v>
                </c:pt>
                <c:pt idx="2">
                  <c:v>Dining</c:v>
                </c:pt>
                <c:pt idx="3">
                  <c:v>Colleges</c:v>
                </c:pt>
                <c:pt idx="4">
                  <c:v>Other</c:v>
                </c:pt>
              </c:strCache>
            </c:strRef>
          </c:cat>
          <c:val>
            <c:numRef>
              <c:f>Sheet1!$B$2:$B$6</c:f>
              <c:numCache>
                <c:formatCode>General</c:formatCode>
                <c:ptCount val="5"/>
                <c:pt idx="0">
                  <c:v>4293</c:v>
                </c:pt>
                <c:pt idx="1">
                  <c:v>12773</c:v>
                </c:pt>
                <c:pt idx="2">
                  <c:v>7497</c:v>
                </c:pt>
                <c:pt idx="3">
                  <c:v>2481</c:v>
                </c:pt>
                <c:pt idx="4">
                  <c:v>3321</c:v>
                </c:pt>
              </c:numCache>
            </c:numRef>
          </c:val>
          <c:extLst>
            <c:ext xmlns:c16="http://schemas.microsoft.com/office/drawing/2014/chart" uri="{C3380CC4-5D6E-409C-BE32-E72D297353CC}">
              <c16:uniqueId val="{0000000A-1EC4-4992-9A7D-5F6FEE4CF7D5}"/>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Full-time</a:t>
            </a:r>
            <a:r>
              <a:rPr lang="en-US" sz="1400" baseline="0" dirty="0">
                <a:solidFill>
                  <a:schemeClr val="tx1"/>
                </a:solidFill>
                <a:latin typeface="Arial" panose="020B0604020202020204" pitchFamily="34" charset="0"/>
                <a:cs typeface="Arial" panose="020B0604020202020204" pitchFamily="34" charset="0"/>
              </a:rPr>
              <a:t> Equivalent </a:t>
            </a:r>
            <a:r>
              <a:rPr lang="en-US" sz="1400" dirty="0">
                <a:solidFill>
                  <a:schemeClr val="tx1"/>
                </a:solidFill>
                <a:latin typeface="Arial" panose="020B0604020202020204" pitchFamily="34" charset="0"/>
                <a:cs typeface="Arial" panose="020B0604020202020204" pitchFamily="34" charset="0"/>
              </a:rPr>
              <a:t>Enrolment Projections</a:t>
            </a:r>
          </a:p>
          <a:p>
            <a:pPr>
              <a:defRPr sz="1400">
                <a:solidFill>
                  <a:schemeClr val="tx1"/>
                </a:solidFill>
                <a:latin typeface="Arial" panose="020B0604020202020204" pitchFamily="34" charset="0"/>
                <a:cs typeface="Arial" panose="020B0604020202020204" pitchFamily="34" charset="0"/>
              </a:defRPr>
            </a:pPr>
            <a:r>
              <a:rPr lang="en-US" sz="1400" dirty="0">
                <a:solidFill>
                  <a:schemeClr val="tx1"/>
                </a:solidFill>
                <a:latin typeface="Arial" panose="020B0604020202020204" pitchFamily="34" charset="0"/>
                <a:cs typeface="Arial" panose="020B0604020202020204" pitchFamily="34" charset="0"/>
              </a:rPr>
              <a:t>Total Enrolment</a:t>
            </a:r>
          </a:p>
        </c:rich>
      </c:tx>
      <c:layout>
        <c:manualLayout>
          <c:xMode val="edge"/>
          <c:yMode val="edge"/>
          <c:x val="0.18777777777777774"/>
          <c:y val="3.2488628979857048E-3"/>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371138703815869"/>
          <c:y val="0.12495281785804409"/>
          <c:w val="0.88106450635978195"/>
          <c:h val="0.67357902137232828"/>
        </c:manualLayout>
      </c:layout>
      <c:bar3DChart>
        <c:barDir val="col"/>
        <c:grouping val="clustered"/>
        <c:varyColors val="0"/>
        <c:ser>
          <c:idx val="0"/>
          <c:order val="0"/>
          <c:tx>
            <c:strRef>
              <c:f>Sheet1!$B$1</c:f>
              <c:strCache>
                <c:ptCount val="1"/>
                <c:pt idx="0">
                  <c:v>Undergraduate FTEs</c:v>
                </c:pt>
              </c:strCache>
            </c:strRef>
          </c:tx>
          <c:spPr>
            <a:solidFill>
              <a:srgbClr val="5B7F95"/>
            </a:solidFill>
            <a:ln>
              <a:noFill/>
            </a:ln>
            <a:effectLst/>
            <a:scene3d>
              <a:camera prst="orthographicFront"/>
              <a:lightRig rig="threePt" dir="t"/>
            </a:scene3d>
            <a:sp3d>
              <a:bevelT/>
              <a:bevelB/>
            </a:sp3d>
          </c:spPr>
          <c:invertIfNegative val="0"/>
          <c:dPt>
            <c:idx val="3"/>
            <c:invertIfNegative val="0"/>
            <c:bubble3D val="0"/>
            <c:spPr>
              <a:pattFill prst="dkDn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1-3152-5648-8BB6-100EA85D1B14}"/>
              </c:ext>
            </c:extLst>
          </c:dPt>
          <c:dPt>
            <c:idx val="4"/>
            <c:invertIfNegative val="0"/>
            <c:bubble3D val="0"/>
            <c:spPr>
              <a:pattFill prst="dkDn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3-3152-5648-8BB6-100EA85D1B14}"/>
              </c:ext>
            </c:extLst>
          </c:dPt>
          <c:dPt>
            <c:idx val="5"/>
            <c:invertIfNegative val="0"/>
            <c:bubble3D val="0"/>
            <c:spPr>
              <a:pattFill prst="dkDnDiag">
                <a:fgClr>
                  <a:srgbClr val="5B7F95"/>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5-3152-5648-8BB6-100EA85D1B14}"/>
              </c:ext>
            </c:extLst>
          </c:dPt>
          <c:cat>
            <c:strRef>
              <c:f>Sheet1!$A$2:$A$7</c:f>
              <c:strCache>
                <c:ptCount val="6"/>
                <c:pt idx="0">
                  <c:v>2016/2017 Actual</c:v>
                </c:pt>
                <c:pt idx="1">
                  <c:v>2017/2018 Actual</c:v>
                </c:pt>
                <c:pt idx="2">
                  <c:v>2018/2019 Actual</c:v>
                </c:pt>
                <c:pt idx="3">
                  <c:v>2019/2020 Projection</c:v>
                </c:pt>
                <c:pt idx="4">
                  <c:v>2020/2021 Projection</c:v>
                </c:pt>
                <c:pt idx="5">
                  <c:v>2021/2022 Projection</c:v>
                </c:pt>
              </c:strCache>
            </c:strRef>
          </c:cat>
          <c:val>
            <c:numRef>
              <c:f>Sheet1!$B$2:$B$7</c:f>
              <c:numCache>
                <c:formatCode>General</c:formatCode>
                <c:ptCount val="6"/>
                <c:pt idx="0">
                  <c:v>7956</c:v>
                </c:pt>
                <c:pt idx="1">
                  <c:v>8500.2000000000007</c:v>
                </c:pt>
                <c:pt idx="2">
                  <c:v>9110</c:v>
                </c:pt>
                <c:pt idx="3">
                  <c:v>9430</c:v>
                </c:pt>
                <c:pt idx="4">
                  <c:v>9775</c:v>
                </c:pt>
                <c:pt idx="5">
                  <c:v>10015</c:v>
                </c:pt>
              </c:numCache>
            </c:numRef>
          </c:val>
          <c:extLst>
            <c:ext xmlns:c16="http://schemas.microsoft.com/office/drawing/2014/chart" uri="{C3380CC4-5D6E-409C-BE32-E72D297353CC}">
              <c16:uniqueId val="{00000006-3152-5648-8BB6-100EA85D1B14}"/>
            </c:ext>
          </c:extLst>
        </c:ser>
        <c:ser>
          <c:idx val="1"/>
          <c:order val="1"/>
          <c:tx>
            <c:strRef>
              <c:f>Sheet1!$C$1</c:f>
              <c:strCache>
                <c:ptCount val="1"/>
                <c:pt idx="0">
                  <c:v>Graduate FTEs</c:v>
                </c:pt>
              </c:strCache>
            </c:strRef>
          </c:tx>
          <c:spPr>
            <a:solidFill>
              <a:schemeClr val="accent2"/>
            </a:solidFill>
            <a:ln>
              <a:noFill/>
            </a:ln>
            <a:effectLst/>
            <a:scene3d>
              <a:camera prst="orthographicFront"/>
              <a:lightRig rig="threePt" dir="t"/>
            </a:scene3d>
            <a:sp3d>
              <a:bevelT/>
              <a:bevelB/>
            </a:sp3d>
          </c:spPr>
          <c:invertIfNegative val="0"/>
          <c:dPt>
            <c:idx val="3"/>
            <c:invertIfNegative val="0"/>
            <c:bubble3D val="0"/>
            <c:spPr>
              <a:pattFill prst="dkDn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8-3152-5648-8BB6-100EA85D1B14}"/>
              </c:ext>
            </c:extLst>
          </c:dPt>
          <c:dPt>
            <c:idx val="4"/>
            <c:invertIfNegative val="0"/>
            <c:bubble3D val="0"/>
            <c:spPr>
              <a:pattFill prst="dkDn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A-3152-5648-8BB6-100EA85D1B14}"/>
              </c:ext>
            </c:extLst>
          </c:dPt>
          <c:dPt>
            <c:idx val="5"/>
            <c:invertIfNegative val="0"/>
            <c:bubble3D val="0"/>
            <c:spPr>
              <a:pattFill prst="dkDnDiag">
                <a:fgClr>
                  <a:schemeClr val="accent2"/>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C-3152-5648-8BB6-100EA85D1B14}"/>
              </c:ext>
            </c:extLst>
          </c:dPt>
          <c:cat>
            <c:strRef>
              <c:f>Sheet1!$A$2:$A$7</c:f>
              <c:strCache>
                <c:ptCount val="6"/>
                <c:pt idx="0">
                  <c:v>2016/2017 Actual</c:v>
                </c:pt>
                <c:pt idx="1">
                  <c:v>2017/2018 Actual</c:v>
                </c:pt>
                <c:pt idx="2">
                  <c:v>2018/2019 Actual</c:v>
                </c:pt>
                <c:pt idx="3">
                  <c:v>2019/2020 Projection</c:v>
                </c:pt>
                <c:pt idx="4">
                  <c:v>2020/2021 Projection</c:v>
                </c:pt>
                <c:pt idx="5">
                  <c:v>2021/2022 Projection</c:v>
                </c:pt>
              </c:strCache>
            </c:strRef>
          </c:cat>
          <c:val>
            <c:numRef>
              <c:f>Sheet1!$C$2:$C$7</c:f>
              <c:numCache>
                <c:formatCode>General</c:formatCode>
                <c:ptCount val="6"/>
                <c:pt idx="0">
                  <c:v>399.8</c:v>
                </c:pt>
                <c:pt idx="1">
                  <c:v>460</c:v>
                </c:pt>
                <c:pt idx="2">
                  <c:v>539.79999999999995</c:v>
                </c:pt>
                <c:pt idx="3">
                  <c:v>539.79999999999995</c:v>
                </c:pt>
                <c:pt idx="4">
                  <c:v>539.79999999999995</c:v>
                </c:pt>
                <c:pt idx="5">
                  <c:v>539.79999999999995</c:v>
                </c:pt>
              </c:numCache>
            </c:numRef>
          </c:val>
          <c:extLst>
            <c:ext xmlns:c16="http://schemas.microsoft.com/office/drawing/2014/chart" uri="{C3380CC4-5D6E-409C-BE32-E72D297353CC}">
              <c16:uniqueId val="{0000000D-3152-5648-8BB6-100EA85D1B14}"/>
            </c:ext>
          </c:extLst>
        </c:ser>
        <c:ser>
          <c:idx val="2"/>
          <c:order val="2"/>
          <c:tx>
            <c:strRef>
              <c:f>Sheet1!$D$1</c:f>
              <c:strCache>
                <c:ptCount val="1"/>
                <c:pt idx="0">
                  <c:v>Total FTEs</c:v>
                </c:pt>
              </c:strCache>
            </c:strRef>
          </c:tx>
          <c:spPr>
            <a:solidFill>
              <a:srgbClr val="154734"/>
            </a:solidFill>
            <a:ln>
              <a:noFill/>
            </a:ln>
            <a:effectLst/>
            <a:scene3d>
              <a:camera prst="orthographicFront"/>
              <a:lightRig rig="threePt" dir="t"/>
            </a:scene3d>
            <a:sp3d>
              <a:bevelT/>
              <a:bevelB/>
            </a:sp3d>
          </c:spPr>
          <c:invertIfNegative val="0"/>
          <c:dPt>
            <c:idx val="3"/>
            <c:invertIfNegative val="0"/>
            <c:bubble3D val="0"/>
            <c:spPr>
              <a:pattFill prst="dk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0F-3152-5648-8BB6-100EA85D1B14}"/>
              </c:ext>
            </c:extLst>
          </c:dPt>
          <c:dPt>
            <c:idx val="4"/>
            <c:invertIfNegative val="0"/>
            <c:bubble3D val="0"/>
            <c:spPr>
              <a:pattFill prst="dk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1-3152-5648-8BB6-100EA85D1B14}"/>
              </c:ext>
            </c:extLst>
          </c:dPt>
          <c:dPt>
            <c:idx val="5"/>
            <c:invertIfNegative val="0"/>
            <c:bubble3D val="0"/>
            <c:spPr>
              <a:pattFill prst="dkDnDiag">
                <a:fgClr>
                  <a:srgbClr val="154734"/>
                </a:fgClr>
                <a:bgClr>
                  <a:schemeClr val="bg1"/>
                </a:bgClr>
              </a:pattFill>
              <a:ln>
                <a:noFill/>
              </a:ln>
              <a:effectLst/>
              <a:scene3d>
                <a:camera prst="orthographicFront"/>
                <a:lightRig rig="threePt" dir="t"/>
              </a:scene3d>
              <a:sp3d>
                <a:bevelT/>
                <a:bevelB/>
              </a:sp3d>
            </c:spPr>
            <c:extLst>
              <c:ext xmlns:c16="http://schemas.microsoft.com/office/drawing/2014/chart" uri="{C3380CC4-5D6E-409C-BE32-E72D297353CC}">
                <c16:uniqueId val="{00000013-3152-5648-8BB6-100EA85D1B14}"/>
              </c:ext>
            </c:extLst>
          </c:dPt>
          <c:dLbls>
            <c:dLbl>
              <c:idx val="2"/>
              <c:layout>
                <c:manualLayout>
                  <c:x val="-8.5470085470086259E-3"/>
                  <c:y val="-3.386868935442229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3152-5648-8BB6-100EA85D1B14}"/>
                </c:ext>
              </c:extLst>
            </c:dLbl>
            <c:dLbl>
              <c:idx val="3"/>
              <c:layout>
                <c:manualLayout>
                  <c:x val="-6.41025641025641E-3"/>
                  <c:y val="-3.212335367812429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3152-5648-8BB6-100EA85D1B14}"/>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1197"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2016/2017 Actual</c:v>
                </c:pt>
                <c:pt idx="1">
                  <c:v>2017/2018 Actual</c:v>
                </c:pt>
                <c:pt idx="2">
                  <c:v>2018/2019 Actual</c:v>
                </c:pt>
                <c:pt idx="3">
                  <c:v>2019/2020 Projection</c:v>
                </c:pt>
                <c:pt idx="4">
                  <c:v>2020/2021 Projection</c:v>
                </c:pt>
                <c:pt idx="5">
                  <c:v>2021/2022 Projection</c:v>
                </c:pt>
              </c:strCache>
            </c:strRef>
          </c:cat>
          <c:val>
            <c:numRef>
              <c:f>Sheet1!$D$2:$D$7</c:f>
              <c:numCache>
                <c:formatCode>General</c:formatCode>
                <c:ptCount val="6"/>
                <c:pt idx="0">
                  <c:v>8356</c:v>
                </c:pt>
                <c:pt idx="1">
                  <c:v>8960</c:v>
                </c:pt>
                <c:pt idx="2">
                  <c:v>9650</c:v>
                </c:pt>
                <c:pt idx="3">
                  <c:v>9970</c:v>
                </c:pt>
                <c:pt idx="4">
                  <c:v>10315</c:v>
                </c:pt>
                <c:pt idx="5">
                  <c:v>10555</c:v>
                </c:pt>
              </c:numCache>
            </c:numRef>
          </c:val>
          <c:extLst>
            <c:ext xmlns:c16="http://schemas.microsoft.com/office/drawing/2014/chart" uri="{C3380CC4-5D6E-409C-BE32-E72D297353CC}">
              <c16:uniqueId val="{00000014-3152-5648-8BB6-100EA85D1B14}"/>
            </c:ext>
          </c:extLst>
        </c:ser>
        <c:dLbls>
          <c:showLegendKey val="0"/>
          <c:showVal val="0"/>
          <c:showCatName val="0"/>
          <c:showSerName val="0"/>
          <c:showPercent val="0"/>
          <c:showBubbleSize val="0"/>
        </c:dLbls>
        <c:gapWidth val="150"/>
        <c:shape val="box"/>
        <c:axId val="270541944"/>
        <c:axId val="270542600"/>
        <c:axId val="0"/>
      </c:bar3DChart>
      <c:catAx>
        <c:axId val="270541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542600"/>
        <c:crosses val="autoZero"/>
        <c:auto val="1"/>
        <c:lblAlgn val="ctr"/>
        <c:lblOffset val="100"/>
        <c:noMultiLvlLbl val="0"/>
      </c:catAx>
      <c:valAx>
        <c:axId val="270542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70541944"/>
        <c:crosses val="autoZero"/>
        <c:crossBetween val="between"/>
      </c:valAx>
      <c:spPr>
        <a:noFill/>
        <a:ln>
          <a:noFill/>
        </a:ln>
        <a:effectLst/>
      </c:spPr>
    </c:plotArea>
    <c:legend>
      <c:legendPos val="b"/>
      <c:layout>
        <c:manualLayout>
          <c:xMode val="edge"/>
          <c:yMode val="edge"/>
          <c:x val="0.20482853077797039"/>
          <c:y val="0.94268777757227717"/>
          <c:w val="0.69720640689144631"/>
          <c:h val="5.7312323444670729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b="1" i="0" baseline="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a:solidFill>
                  <a:schemeClr val="tx1"/>
                </a:solidFill>
                <a:latin typeface="Arial" panose="020B0604020202020204" pitchFamily="34" charset="0"/>
                <a:cs typeface="Arial" panose="020B0604020202020204" pitchFamily="34" charset="0"/>
              </a:rPr>
              <a:t>2019/2020</a:t>
            </a:r>
            <a:r>
              <a:rPr lang="en-US" sz="1400" b="1" baseline="0">
                <a:solidFill>
                  <a:schemeClr val="tx1"/>
                </a:solidFill>
                <a:latin typeface="Arial" panose="020B0604020202020204" pitchFamily="34" charset="0"/>
                <a:cs typeface="Arial" panose="020B0604020202020204" pitchFamily="34" charset="0"/>
              </a:rPr>
              <a:t> Budgeted Government Grants</a:t>
            </a:r>
            <a:endParaRPr lang="en-US" sz="1400" b="1">
              <a:solidFill>
                <a:schemeClr val="tx1"/>
              </a:solidFill>
              <a:latin typeface="Arial" panose="020B0604020202020204" pitchFamily="34" charset="0"/>
              <a:cs typeface="Arial" panose="020B0604020202020204" pitchFamily="34" charset="0"/>
            </a:endParaRPr>
          </a:p>
        </c:rich>
      </c:tx>
      <c:layout>
        <c:manualLayout>
          <c:xMode val="edge"/>
          <c:yMode val="edge"/>
          <c:x val="0.21128380028077889"/>
          <c:y val="2.2988505747126436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70432765671729E-3"/>
          <c:y val="0.19137961203125473"/>
          <c:w val="0.9958229567234328"/>
          <c:h val="0.80554988318767851"/>
        </c:manualLayout>
      </c:layout>
      <c:pie3DChart>
        <c:varyColors val="1"/>
        <c:ser>
          <c:idx val="0"/>
          <c:order val="0"/>
          <c:tx>
            <c:strRef>
              <c:f>Sheet1!$B$1</c:f>
              <c:strCache>
                <c:ptCount val="1"/>
                <c:pt idx="0">
                  <c:v>Funding</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9B0D-024A-AAFE-07164BD9A06C}"/>
              </c:ext>
            </c:extLst>
          </c:dPt>
          <c:dPt>
            <c:idx val="1"/>
            <c:bubble3D val="0"/>
            <c:explosion val="46"/>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9B0D-024A-AAFE-07164BD9A06C}"/>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9B0D-024A-AAFE-07164BD9A06C}"/>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9B0D-024A-AAFE-07164BD9A06C}"/>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9B0D-024A-AAFE-07164BD9A06C}"/>
              </c:ext>
            </c:extLst>
          </c:dPt>
          <c:dLbls>
            <c:dLbl>
              <c:idx val="0"/>
              <c:layout>
                <c:manualLayout>
                  <c:x val="4.6490722089971313E-2"/>
                  <c:y val="-0.21173956828720314"/>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B0D-024A-AAFE-07164BD9A06C}"/>
                </c:ext>
              </c:extLst>
            </c:dLbl>
            <c:dLbl>
              <c:idx val="1"/>
              <c:layout>
                <c:manualLayout>
                  <c:x val="-1.6484171050769738E-2"/>
                  <c:y val="1.02440206649384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B0D-024A-AAFE-07164BD9A06C}"/>
                </c:ext>
              </c:extLst>
            </c:dLbl>
            <c:dLbl>
              <c:idx val="2"/>
              <c:layout>
                <c:manualLayout>
                  <c:x val="-9.4694965321707278E-2"/>
                  <c:y val="3.091273784506128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B0D-024A-AAFE-07164BD9A06C}"/>
                </c:ext>
              </c:extLst>
            </c:dLbl>
            <c:dLbl>
              <c:idx val="3"/>
              <c:layout>
                <c:manualLayout>
                  <c:x val="1.5174489985265369E-2"/>
                  <c:y val="-2.8303555634176577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B0D-024A-AAFE-07164BD9A06C}"/>
                </c:ext>
              </c:extLst>
            </c:dLbl>
            <c:dLbl>
              <c:idx val="4"/>
              <c:layout>
                <c:manualLayout>
                  <c:x val="0.18138976843971119"/>
                  <c:y val="-1.3120202359279652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B0D-024A-AAFE-07164BD9A06C}"/>
                </c:ext>
              </c:extLst>
            </c:dLbl>
            <c:spPr>
              <a:noFill/>
              <a:ln>
                <a:noFill/>
              </a:ln>
              <a:effectLst/>
            </c:spPr>
            <c:txPr>
              <a:bodyPr rot="0" spcFirstLastPara="1" vertOverflow="ellipsis" vert="horz" wrap="square" lIns="38100" tIns="19050" rIns="38100" bIns="19050" anchor="ctr" anchorCtr="1">
                <a:spAutoFit/>
              </a:bodyPr>
              <a:lstStyle/>
              <a:p>
                <a:pPr>
                  <a:defRPr sz="1197"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Core Operating</c:v>
                </c:pt>
                <c:pt idx="1">
                  <c:v>Enrolment Growth</c:v>
                </c:pt>
                <c:pt idx="2">
                  <c:v>Differentiation</c:v>
                </c:pt>
                <c:pt idx="3">
                  <c:v>Special Purpose</c:v>
                </c:pt>
                <c:pt idx="4">
                  <c:v>Other Grants</c:v>
                </c:pt>
              </c:strCache>
            </c:strRef>
          </c:cat>
          <c:val>
            <c:numRef>
              <c:f>Sheet1!$B$2:$B$6</c:f>
              <c:numCache>
                <c:formatCode>General</c:formatCode>
                <c:ptCount val="5"/>
                <c:pt idx="0">
                  <c:v>43103210</c:v>
                </c:pt>
                <c:pt idx="1">
                  <c:v>7851920</c:v>
                </c:pt>
                <c:pt idx="2">
                  <c:v>6236529</c:v>
                </c:pt>
                <c:pt idx="3">
                  <c:v>2254343</c:v>
                </c:pt>
                <c:pt idx="4">
                  <c:v>3146433</c:v>
                </c:pt>
              </c:numCache>
            </c:numRef>
          </c:val>
          <c:extLst>
            <c:ext xmlns:c16="http://schemas.microsoft.com/office/drawing/2014/chart" uri="{C3380CC4-5D6E-409C-BE32-E72D297353CC}">
              <c16:uniqueId val="{0000000A-9B0D-024A-AAFE-07164BD9A06C}"/>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ysClr val="windowText" lastClr="000000"/>
                </a:solidFill>
                <a:latin typeface="Arial" panose="020B0604020202020204" pitchFamily="34" charset="0"/>
                <a:cs typeface="Arial" panose="020B0604020202020204" pitchFamily="34" charset="0"/>
              </a:rPr>
              <a:t>2019/2020 Budgeted Government Grants </a:t>
            </a:r>
          </a:p>
          <a:p>
            <a:pPr>
              <a:defRPr/>
            </a:pPr>
            <a:r>
              <a:rPr lang="en-US" b="1">
                <a:solidFill>
                  <a:sysClr val="windowText" lastClr="000000"/>
                </a:solidFill>
                <a:latin typeface="Arial" panose="020B0604020202020204" pitchFamily="34" charset="0"/>
                <a:cs typeface="Arial" panose="020B0604020202020204" pitchFamily="34" charset="0"/>
              </a:rPr>
              <a:t>Compared to 2018/2019 Budget </a:t>
            </a:r>
          </a:p>
          <a:p>
            <a:pPr>
              <a:defRPr/>
            </a:pPr>
            <a:r>
              <a:rPr lang="en-US"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55"/>
          <c:y val="2.30946882217090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15684957984901"/>
          <c:y val="0.22738095238095238"/>
          <c:w val="0.6204458212103332"/>
          <c:h val="0.54988482963878949"/>
        </c:manualLayout>
      </c:layout>
      <c:barChart>
        <c:barDir val="bar"/>
        <c:grouping val="clustered"/>
        <c:varyColors val="0"/>
        <c:ser>
          <c:idx val="0"/>
          <c:order val="0"/>
          <c:tx>
            <c:strRef>
              <c:f>Sheet1!$B$1</c:f>
              <c:strCache>
                <c:ptCount val="1"/>
                <c:pt idx="0">
                  <c:v>2018/2019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Sheet1!$A$2:$A$6</c:f>
              <c:strCache>
                <c:ptCount val="5"/>
                <c:pt idx="0">
                  <c:v>Other Grants</c:v>
                </c:pt>
                <c:pt idx="1">
                  <c:v>Special Purpose Grants</c:v>
                </c:pt>
                <c:pt idx="2">
                  <c:v>Differentiation Grant</c:v>
                </c:pt>
                <c:pt idx="3">
                  <c:v>Enrolment Growth Grant*</c:v>
                </c:pt>
                <c:pt idx="4">
                  <c:v>Core Operating Grant</c:v>
                </c:pt>
              </c:strCache>
            </c:strRef>
          </c:cat>
          <c:val>
            <c:numRef>
              <c:f>Sheet1!$B$2:$B$6</c:f>
              <c:numCache>
                <c:formatCode>General</c:formatCode>
                <c:ptCount val="5"/>
                <c:pt idx="0">
                  <c:v>3778</c:v>
                </c:pt>
                <c:pt idx="1">
                  <c:v>2986</c:v>
                </c:pt>
                <c:pt idx="2">
                  <c:v>6237</c:v>
                </c:pt>
                <c:pt idx="3">
                  <c:v>4638</c:v>
                </c:pt>
                <c:pt idx="4">
                  <c:v>43103</c:v>
                </c:pt>
              </c:numCache>
            </c:numRef>
          </c:val>
          <c:extLst>
            <c:ext xmlns:c16="http://schemas.microsoft.com/office/drawing/2014/chart" uri="{C3380CC4-5D6E-409C-BE32-E72D297353CC}">
              <c16:uniqueId val="{00000000-CD9E-4934-B331-D362BE95E76D}"/>
            </c:ext>
          </c:extLst>
        </c:ser>
        <c:ser>
          <c:idx val="1"/>
          <c:order val="1"/>
          <c:tx>
            <c:strRef>
              <c:f>Sheet1!$C$1</c:f>
              <c:strCache>
                <c:ptCount val="1"/>
                <c:pt idx="0">
                  <c:v>2019/2020 Budget</c:v>
                </c:pt>
              </c:strCache>
            </c:strRef>
          </c:tx>
          <c:spPr>
            <a:solidFill>
              <a:srgbClr val="154734"/>
            </a:solidFill>
            <a:ln>
              <a:noFill/>
            </a:ln>
            <a:effectLst/>
            <a:scene3d>
              <a:camera prst="orthographicFront"/>
              <a:lightRig rig="threePt" dir="t"/>
            </a:scene3d>
            <a:sp3d>
              <a:bevelT/>
              <a:bevelB/>
            </a:sp3d>
          </c:spPr>
          <c:invertIfNegative val="0"/>
          <c:cat>
            <c:strRef>
              <c:f>Sheet1!$A$2:$A$6</c:f>
              <c:strCache>
                <c:ptCount val="5"/>
                <c:pt idx="0">
                  <c:v>Other Grants</c:v>
                </c:pt>
                <c:pt idx="1">
                  <c:v>Special Purpose Grants</c:v>
                </c:pt>
                <c:pt idx="2">
                  <c:v>Differentiation Grant</c:v>
                </c:pt>
                <c:pt idx="3">
                  <c:v>Enrolment Growth Grant*</c:v>
                </c:pt>
                <c:pt idx="4">
                  <c:v>Core Operating Grant</c:v>
                </c:pt>
              </c:strCache>
            </c:strRef>
          </c:cat>
          <c:val>
            <c:numRef>
              <c:f>Sheet1!$C$2:$C$6</c:f>
              <c:numCache>
                <c:formatCode>General</c:formatCode>
                <c:ptCount val="5"/>
                <c:pt idx="0">
                  <c:v>3146</c:v>
                </c:pt>
                <c:pt idx="1">
                  <c:v>2254</c:v>
                </c:pt>
                <c:pt idx="2">
                  <c:v>6237</c:v>
                </c:pt>
                <c:pt idx="3">
                  <c:v>7852</c:v>
                </c:pt>
                <c:pt idx="4">
                  <c:v>43103</c:v>
                </c:pt>
              </c:numCache>
            </c:numRef>
          </c:val>
          <c:extLst>
            <c:ext xmlns:c16="http://schemas.microsoft.com/office/drawing/2014/chart" uri="{C3380CC4-5D6E-409C-BE32-E72D297353CC}">
              <c16:uniqueId val="{00000001-CD9E-4934-B331-D362BE95E76D}"/>
            </c:ext>
          </c:extLst>
        </c:ser>
        <c:dLbls>
          <c:showLegendKey val="0"/>
          <c:showVal val="0"/>
          <c:showCatName val="0"/>
          <c:showSerName val="0"/>
          <c:showPercent val="0"/>
          <c:showBubbleSize val="0"/>
        </c:dLbls>
        <c:gapWidth val="60"/>
        <c:axId val="593604896"/>
        <c:axId val="593605552"/>
      </c:barChart>
      <c:catAx>
        <c:axId val="593604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3605552"/>
        <c:crosses val="autoZero"/>
        <c:auto val="1"/>
        <c:lblAlgn val="ctr"/>
        <c:lblOffset val="100"/>
        <c:noMultiLvlLbl val="0"/>
      </c:catAx>
      <c:valAx>
        <c:axId val="59360555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3604896"/>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2019/2020 Budgeted Tuition Fees Revenue</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772727708679E-2"/>
          <c:y val="0.23911873443826862"/>
          <c:w val="0.86113503473454367"/>
          <c:h val="0.67625282304828171"/>
        </c:manualLayout>
      </c:layout>
      <c:pie3DChart>
        <c:varyColors val="1"/>
        <c:ser>
          <c:idx val="0"/>
          <c:order val="0"/>
          <c:tx>
            <c:strRef>
              <c:f>Sheet1!$B$1</c:f>
              <c:strCache>
                <c:ptCount val="1"/>
                <c:pt idx="0">
                  <c:v>Funding</c:v>
                </c:pt>
              </c:strCache>
            </c:strRef>
          </c:tx>
          <c:explosion val="1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8AE-456D-AD89-0A2D0DD73E0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8AE-456D-AD89-0A2D0DD73E0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8AE-456D-AD89-0A2D0DD73E0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8AE-456D-AD89-0A2D0DD73E0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8AE-456D-AD89-0A2D0DD73E00}"/>
              </c:ext>
            </c:extLst>
          </c:dPt>
          <c:dLbls>
            <c:dLbl>
              <c:idx val="0"/>
              <c:layout>
                <c:manualLayout>
                  <c:x val="3.6810464160920202E-2"/>
                  <c:y val="-0.121194860830883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4600976341"/>
                      <c:h val="0.1581071342139288"/>
                    </c:manualLayout>
                  </c15:layout>
                </c:ext>
                <c:ext xmlns:c16="http://schemas.microsoft.com/office/drawing/2014/chart" uri="{C3380CC4-5D6E-409C-BE32-E72D297353CC}">
                  <c16:uniqueId val="{00000001-78AE-456D-AD89-0A2D0DD73E00}"/>
                </c:ext>
              </c:extLst>
            </c:dLbl>
            <c:dLbl>
              <c:idx val="1"/>
              <c:layout>
                <c:manualLayout>
                  <c:x val="-3.0450589991719974E-2"/>
                  <c:y val="-3.396028629381083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5915006665579712"/>
                      <c:h val="0.15885910338640169"/>
                    </c:manualLayout>
                  </c15:layout>
                </c:ext>
                <c:ext xmlns:c16="http://schemas.microsoft.com/office/drawing/2014/chart" uri="{C3380CC4-5D6E-409C-BE32-E72D297353CC}">
                  <c16:uniqueId val="{00000003-78AE-456D-AD89-0A2D0DD73E00}"/>
                </c:ext>
              </c:extLst>
            </c:dLbl>
            <c:dLbl>
              <c:idx val="2"/>
              <c:layout>
                <c:manualLayout>
                  <c:x val="-3.729484061625267E-2"/>
                  <c:y val="3.1940702308716259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5344452223618"/>
                      <c:h val="0.17079648029223041"/>
                    </c:manualLayout>
                  </c15:layout>
                </c:ext>
                <c:ext xmlns:c16="http://schemas.microsoft.com/office/drawing/2014/chart" uri="{C3380CC4-5D6E-409C-BE32-E72D297353CC}">
                  <c16:uniqueId val="{00000005-78AE-456D-AD89-0A2D0DD73E00}"/>
                </c:ext>
              </c:extLst>
            </c:dLbl>
            <c:dLbl>
              <c:idx val="3"/>
              <c:layout>
                <c:manualLayout>
                  <c:x val="0.19644558274618257"/>
                  <c:y val="2.9151845631140105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79190603610604"/>
                      <c:h val="0.15891552781577287"/>
                    </c:manualLayout>
                  </c15:layout>
                </c:ext>
                <c:ext xmlns:c16="http://schemas.microsoft.com/office/drawing/2014/chart" uri="{C3380CC4-5D6E-409C-BE32-E72D297353CC}">
                  <c16:uniqueId val="{00000007-78AE-456D-AD89-0A2D0DD73E00}"/>
                </c:ext>
              </c:extLst>
            </c:dLbl>
            <c:dLbl>
              <c:idx val="4"/>
              <c:layout>
                <c:manualLayout>
                  <c:x val="9.2574176490740956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41"/>
                      <c:h val="0.11977817459319436"/>
                    </c:manualLayout>
                  </c15:layout>
                </c:ext>
                <c:ext xmlns:c16="http://schemas.microsoft.com/office/drawing/2014/chart" uri="{C3380CC4-5D6E-409C-BE32-E72D297353CC}">
                  <c16:uniqueId val="{00000009-78AE-456D-AD89-0A2D0DD73E00}"/>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Domestic Undergraduate</c:v>
                </c:pt>
                <c:pt idx="1">
                  <c:v>Domestic Graduate</c:v>
                </c:pt>
                <c:pt idx="2">
                  <c:v>International Undergraduate</c:v>
                </c:pt>
                <c:pt idx="3">
                  <c:v>International Graduate</c:v>
                </c:pt>
              </c:strCache>
            </c:strRef>
          </c:cat>
          <c:val>
            <c:numRef>
              <c:f>Sheet1!$B$2:$B$5</c:f>
              <c:numCache>
                <c:formatCode>General</c:formatCode>
                <c:ptCount val="4"/>
                <c:pt idx="0">
                  <c:v>53.9</c:v>
                </c:pt>
                <c:pt idx="1">
                  <c:v>3.9</c:v>
                </c:pt>
                <c:pt idx="2">
                  <c:v>14.9</c:v>
                </c:pt>
                <c:pt idx="3">
                  <c:v>2.8</c:v>
                </c:pt>
              </c:numCache>
            </c:numRef>
          </c:val>
          <c:extLst>
            <c:ext xmlns:c16="http://schemas.microsoft.com/office/drawing/2014/chart" uri="{C3380CC4-5D6E-409C-BE32-E72D297353CC}">
              <c16:uniqueId val="{0000000A-78AE-456D-AD89-0A2D0DD73E00}"/>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a:solidFill>
                  <a:sysClr val="windowText" lastClr="000000"/>
                </a:solidFill>
                <a:latin typeface="Arial" panose="020B0604020202020204" pitchFamily="34" charset="0"/>
                <a:cs typeface="Arial" panose="020B0604020202020204" pitchFamily="34" charset="0"/>
              </a:rPr>
              <a:t>2019/2020 Budgeted Tuition</a:t>
            </a:r>
            <a:r>
              <a:rPr lang="en-US" sz="1400" b="1" baseline="0">
                <a:solidFill>
                  <a:sysClr val="windowText" lastClr="000000"/>
                </a:solidFill>
                <a:latin typeface="Arial" panose="020B0604020202020204" pitchFamily="34" charset="0"/>
                <a:cs typeface="Arial" panose="020B0604020202020204" pitchFamily="34" charset="0"/>
              </a:rPr>
              <a:t> Fees Revenue</a:t>
            </a:r>
            <a:r>
              <a:rPr lang="en-US" sz="1400" b="1">
                <a:solidFill>
                  <a:sysClr val="windowText" lastClr="000000"/>
                </a:solidFill>
                <a:latin typeface="Arial" panose="020B0604020202020204" pitchFamily="34" charset="0"/>
                <a:cs typeface="Arial" panose="020B0604020202020204" pitchFamily="34" charset="0"/>
              </a:rPr>
              <a:t> </a:t>
            </a:r>
          </a:p>
          <a:p>
            <a:pPr>
              <a:defRPr/>
            </a:pPr>
            <a:r>
              <a:rPr lang="en-US" sz="1400" b="1">
                <a:solidFill>
                  <a:sysClr val="windowText" lastClr="000000"/>
                </a:solidFill>
                <a:latin typeface="Arial" panose="020B0604020202020204" pitchFamily="34" charset="0"/>
                <a:cs typeface="Arial" panose="020B0604020202020204" pitchFamily="34" charset="0"/>
              </a:rPr>
              <a:t>Compared to 2018/2019 Budget </a:t>
            </a:r>
          </a:p>
          <a:p>
            <a:pPr>
              <a:defRPr/>
            </a:pPr>
            <a:r>
              <a:rPr lang="en-US" sz="1400" b="1">
                <a:solidFill>
                  <a:sysClr val="windowText" lastClr="000000"/>
                </a:solidFill>
                <a:latin typeface="Arial" panose="020B0604020202020204" pitchFamily="34" charset="0"/>
                <a:cs typeface="Arial" panose="020B0604020202020204" pitchFamily="34" charset="0"/>
              </a:rPr>
              <a:t>(in millions)</a:t>
            </a:r>
          </a:p>
        </c:rich>
      </c:tx>
      <c:layout>
        <c:manualLayout>
          <c:xMode val="edge"/>
          <c:yMode val="edge"/>
          <c:x val="0.22861156174573655"/>
          <c:y val="2.309468822170900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0915684957984901"/>
          <c:y val="0.22738095238095238"/>
          <c:w val="0.6204458212103332"/>
          <c:h val="0.54988482963878949"/>
        </c:manualLayout>
      </c:layout>
      <c:barChart>
        <c:barDir val="bar"/>
        <c:grouping val="clustered"/>
        <c:varyColors val="0"/>
        <c:ser>
          <c:idx val="0"/>
          <c:order val="0"/>
          <c:tx>
            <c:strRef>
              <c:f>Sheet1!$B$1</c:f>
              <c:strCache>
                <c:ptCount val="1"/>
                <c:pt idx="0">
                  <c:v>2018/2019 Budget</c:v>
                </c:pt>
              </c:strCache>
            </c:strRef>
          </c:tx>
          <c:spPr>
            <a:solidFill>
              <a:srgbClr val="5B7F95">
                <a:alpha val="80000"/>
              </a:srgbClr>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Sheet1!$B$2:$B$5</c:f>
              <c:numCache>
                <c:formatCode>General</c:formatCode>
                <c:ptCount val="4"/>
                <c:pt idx="0">
                  <c:v>1653</c:v>
                </c:pt>
                <c:pt idx="1">
                  <c:v>11366</c:v>
                </c:pt>
                <c:pt idx="2">
                  <c:v>3930</c:v>
                </c:pt>
                <c:pt idx="3">
                  <c:v>55918</c:v>
                </c:pt>
              </c:numCache>
            </c:numRef>
          </c:val>
          <c:extLst>
            <c:ext xmlns:c16="http://schemas.microsoft.com/office/drawing/2014/chart" uri="{C3380CC4-5D6E-409C-BE32-E72D297353CC}">
              <c16:uniqueId val="{00000000-BFE8-44A5-AC69-8386A56ED20A}"/>
            </c:ext>
          </c:extLst>
        </c:ser>
        <c:ser>
          <c:idx val="1"/>
          <c:order val="1"/>
          <c:tx>
            <c:strRef>
              <c:f>Sheet1!$C$1</c:f>
              <c:strCache>
                <c:ptCount val="1"/>
                <c:pt idx="0">
                  <c:v>2019/2020 Budget</c:v>
                </c:pt>
              </c:strCache>
            </c:strRef>
          </c:tx>
          <c:spPr>
            <a:solidFill>
              <a:srgbClr val="154734"/>
            </a:solidFill>
            <a:ln>
              <a:noFill/>
            </a:ln>
            <a:effectLst/>
            <a:scene3d>
              <a:camera prst="orthographicFront"/>
              <a:lightRig rig="threePt" dir="t"/>
            </a:scene3d>
            <a:sp3d>
              <a:bevelT/>
              <a:bevelB/>
            </a:sp3d>
          </c:spPr>
          <c:invertIfNegative val="0"/>
          <c:cat>
            <c:strRef>
              <c:f>Sheet1!$A$2:$A$5</c:f>
              <c:strCache>
                <c:ptCount val="4"/>
                <c:pt idx="0">
                  <c:v>International Graduate</c:v>
                </c:pt>
                <c:pt idx="1">
                  <c:v>International Undergraduate</c:v>
                </c:pt>
                <c:pt idx="2">
                  <c:v>Domestic Graduate</c:v>
                </c:pt>
                <c:pt idx="3">
                  <c:v>Domestic Undergraduate</c:v>
                </c:pt>
              </c:strCache>
            </c:strRef>
          </c:cat>
          <c:val>
            <c:numRef>
              <c:f>Sheet1!$C$2:$C$5</c:f>
              <c:numCache>
                <c:formatCode>General</c:formatCode>
                <c:ptCount val="4"/>
                <c:pt idx="0">
                  <c:v>2758</c:v>
                </c:pt>
                <c:pt idx="1">
                  <c:v>14909</c:v>
                </c:pt>
                <c:pt idx="2">
                  <c:v>3915</c:v>
                </c:pt>
                <c:pt idx="3">
                  <c:v>53908</c:v>
                </c:pt>
              </c:numCache>
            </c:numRef>
          </c:val>
          <c:extLst>
            <c:ext xmlns:c16="http://schemas.microsoft.com/office/drawing/2014/chart" uri="{C3380CC4-5D6E-409C-BE32-E72D297353CC}">
              <c16:uniqueId val="{00000001-BFE8-44A5-AC69-8386A56ED20A}"/>
            </c:ext>
          </c:extLst>
        </c:ser>
        <c:dLbls>
          <c:showLegendKey val="0"/>
          <c:showVal val="0"/>
          <c:showCatName val="0"/>
          <c:showSerName val="0"/>
          <c:showPercent val="0"/>
          <c:showBubbleSize val="0"/>
        </c:dLbls>
        <c:gapWidth val="60"/>
        <c:axId val="593604896"/>
        <c:axId val="593605552"/>
      </c:barChart>
      <c:catAx>
        <c:axId val="5936048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3605552"/>
        <c:crosses val="autoZero"/>
        <c:auto val="1"/>
        <c:lblAlgn val="ctr"/>
        <c:lblOffset val="100"/>
        <c:noMultiLvlLbl val="0"/>
      </c:catAx>
      <c:valAx>
        <c:axId val="593605552"/>
        <c:scaling>
          <c:orientation val="minMax"/>
        </c:scaling>
        <c:delete val="0"/>
        <c:axPos val="b"/>
        <c:majorGridlines>
          <c:spPr>
            <a:ln w="9525" cap="flat" cmpd="sng" algn="ctr">
              <a:solidFill>
                <a:schemeClr val="tx1">
                  <a:lumMod val="15000"/>
                  <a:lumOff val="85000"/>
                </a:schemeClr>
              </a:solidFill>
              <a:round/>
            </a:ln>
            <a:effectLst/>
          </c:spPr>
        </c:majorGridlines>
        <c:numFmt formatCode="&quot;$&quot;#,##0" sourceLinked="0"/>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593604896"/>
        <c:crosses val="autoZero"/>
        <c:crossBetween val="between"/>
        <c:min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2019/2020 Budgeted Reduction Strategies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772727708679E-2"/>
          <c:y val="0.23911873443826862"/>
          <c:w val="0.86113503473454367"/>
          <c:h val="0.67625282304828171"/>
        </c:manualLayout>
      </c:layout>
      <c:pie3DChart>
        <c:varyColors val="1"/>
        <c:ser>
          <c:idx val="0"/>
          <c:order val="0"/>
          <c:tx>
            <c:strRef>
              <c:f>Sheet1!$B$1</c:f>
              <c:strCache>
                <c:ptCount val="1"/>
                <c:pt idx="0">
                  <c:v>Reductions</c:v>
                </c:pt>
              </c:strCache>
            </c:strRef>
          </c:tx>
          <c:spPr>
            <a:scene3d>
              <a:camera prst="orthographicFront"/>
              <a:lightRig rig="threePt" dir="t"/>
            </a:scene3d>
            <a:sp3d>
              <a:bevelT/>
              <a:bevelB/>
              <a:contourClr>
                <a:srgbClr val="000000"/>
              </a:contourClr>
            </a:sp3d>
          </c:spPr>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2914-43B3-9BDB-F008D54FEBB8}"/>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2914-43B3-9BDB-F008D54FEBB8}"/>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2914-43B3-9BDB-F008D54FEBB8}"/>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2914-43B3-9BDB-F008D54FEBB8}"/>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2914-43B3-9BDB-F008D54FEBB8}"/>
              </c:ext>
            </c:extLst>
          </c:dPt>
          <c:dLbls>
            <c:dLbl>
              <c:idx val="0"/>
              <c:layout>
                <c:manualLayout>
                  <c:x val="3.6810464160920202E-2"/>
                  <c:y val="-0.121194860830883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4600976341"/>
                      <c:h val="0.1581071342139288"/>
                    </c:manualLayout>
                  </c15:layout>
                </c:ext>
                <c:ext xmlns:c16="http://schemas.microsoft.com/office/drawing/2014/chart" uri="{C3380CC4-5D6E-409C-BE32-E72D297353CC}">
                  <c16:uniqueId val="{00000001-2914-43B3-9BDB-F008D54FEBB8}"/>
                </c:ext>
              </c:extLst>
            </c:dLbl>
            <c:dLbl>
              <c:idx val="1"/>
              <c:layout>
                <c:manualLayout>
                  <c:x val="-1.0228099647301427E-2"/>
                  <c:y val="-3.3959559666692147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99531858315489"/>
                      <c:h val="0.15885903218408376"/>
                    </c:manualLayout>
                  </c15:layout>
                </c:ext>
                <c:ext xmlns:c16="http://schemas.microsoft.com/office/drawing/2014/chart" uri="{C3380CC4-5D6E-409C-BE32-E72D297353CC}">
                  <c16:uniqueId val="{00000003-2914-43B3-9BDB-F008D54FEBB8}"/>
                </c:ext>
              </c:extLst>
            </c:dLbl>
            <c:dLbl>
              <c:idx val="2"/>
              <c:layout>
                <c:manualLayout>
                  <c:x val="-1.3867821628464325E-2"/>
                  <c:y val="1.944327650791223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79190603610604"/>
                      <c:h val="0.15891552781577287"/>
                    </c:manualLayout>
                  </c15:layout>
                </c:ext>
                <c:ext xmlns:c16="http://schemas.microsoft.com/office/drawing/2014/chart" uri="{C3380CC4-5D6E-409C-BE32-E72D297353CC}">
                  <c16:uniqueId val="{00000005-2914-43B3-9BDB-F008D54FEBB8}"/>
                </c:ext>
              </c:extLst>
            </c:dLbl>
            <c:dLbl>
              <c:idx val="4"/>
              <c:layout>
                <c:manualLayout>
                  <c:x val="9.2574176490740956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41"/>
                      <c:h val="0.11977817459319436"/>
                    </c:manualLayout>
                  </c15:layout>
                </c:ext>
                <c:ext xmlns:c16="http://schemas.microsoft.com/office/drawing/2014/chart" uri="{C3380CC4-5D6E-409C-BE32-E72D297353CC}">
                  <c16:uniqueId val="{00000009-2914-43B3-9BDB-F008D54FEBB8}"/>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Academic</c:v>
                </c:pt>
                <c:pt idx="1">
                  <c:v>Academic Support</c:v>
                </c:pt>
                <c:pt idx="2">
                  <c:v>Admin and Support</c:v>
                </c:pt>
              </c:strCache>
            </c:strRef>
          </c:cat>
          <c:val>
            <c:numRef>
              <c:f>Sheet1!$B$2:$B$4</c:f>
              <c:numCache>
                <c:formatCode>General</c:formatCode>
                <c:ptCount val="3"/>
                <c:pt idx="0">
                  <c:v>3129755</c:v>
                </c:pt>
                <c:pt idx="1">
                  <c:v>1041564</c:v>
                </c:pt>
                <c:pt idx="2">
                  <c:v>1278715</c:v>
                </c:pt>
              </c:numCache>
            </c:numRef>
          </c:val>
          <c:extLst>
            <c:ext xmlns:c16="http://schemas.microsoft.com/office/drawing/2014/chart" uri="{C3380CC4-5D6E-409C-BE32-E72D297353CC}">
              <c16:uniqueId val="{0000000A-2914-43B3-9BDB-F008D54FEBB8}"/>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2019/2020 New Strategic Investments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view3D>
      <c:rotX val="50"/>
      <c:rotY val="0"/>
      <c:depthPercent val="100"/>
      <c:rAngAx val="0"/>
      <c:perspective val="2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6290772727708679E-2"/>
          <c:y val="0.23911873443826862"/>
          <c:w val="0.86113503473454367"/>
          <c:h val="0.67625282304828171"/>
        </c:manualLayout>
      </c:layout>
      <c:pie3DChart>
        <c:varyColors val="1"/>
        <c:ser>
          <c:idx val="0"/>
          <c:order val="0"/>
          <c:tx>
            <c:strRef>
              <c:f>Sheet1!$B$1</c:f>
              <c:strCache>
                <c:ptCount val="1"/>
                <c:pt idx="0">
                  <c:v>Reductions</c:v>
                </c:pt>
              </c:strCache>
            </c:strRef>
          </c:tx>
          <c:spPr>
            <a:scene3d>
              <a:camera prst="orthographicFront"/>
              <a:lightRig rig="threePt" dir="t"/>
            </a:scene3d>
            <a:sp3d>
              <a:bevelT/>
              <a:bevelB/>
              <a:contourClr>
                <a:srgbClr val="000000"/>
              </a:contourClr>
            </a:sp3d>
          </c:spPr>
          <c:explosion val="10"/>
          <c:dPt>
            <c:idx val="0"/>
            <c:bubble3D val="0"/>
            <c:spPr>
              <a:solidFill>
                <a:schemeClr val="accent1"/>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1-83DB-47F8-A461-0FF9307CDDFB}"/>
              </c:ext>
            </c:extLst>
          </c:dPt>
          <c:dPt>
            <c:idx val="1"/>
            <c:bubble3D val="0"/>
            <c:spPr>
              <a:solidFill>
                <a:schemeClr val="accent2"/>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3-83DB-47F8-A461-0FF9307CDDFB}"/>
              </c:ext>
            </c:extLst>
          </c:dPt>
          <c:dPt>
            <c:idx val="2"/>
            <c:bubble3D val="0"/>
            <c:spPr>
              <a:solidFill>
                <a:schemeClr val="accent3"/>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5-83DB-47F8-A461-0FF9307CDDFB}"/>
              </c:ext>
            </c:extLst>
          </c:dPt>
          <c:dPt>
            <c:idx val="3"/>
            <c:bubble3D val="0"/>
            <c:spPr>
              <a:solidFill>
                <a:schemeClr val="accent4"/>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7-83DB-47F8-A461-0FF9307CDDFB}"/>
              </c:ext>
            </c:extLst>
          </c:dPt>
          <c:dPt>
            <c:idx val="4"/>
            <c:bubble3D val="0"/>
            <c:spPr>
              <a:solidFill>
                <a:schemeClr val="accent5"/>
              </a:solidFill>
              <a:ln w="25400">
                <a:solidFill>
                  <a:schemeClr val="lt1"/>
                </a:solidFill>
              </a:ln>
              <a:effectLst/>
              <a:scene3d>
                <a:camera prst="orthographicFront"/>
                <a:lightRig rig="threePt" dir="t"/>
              </a:scene3d>
              <a:sp3d contourW="25400">
                <a:bevelT/>
                <a:bevelB/>
                <a:contourClr>
                  <a:schemeClr val="lt1"/>
                </a:contourClr>
              </a:sp3d>
            </c:spPr>
            <c:extLst>
              <c:ext xmlns:c16="http://schemas.microsoft.com/office/drawing/2014/chart" uri="{C3380CC4-5D6E-409C-BE32-E72D297353CC}">
                <c16:uniqueId val="{00000009-83DB-47F8-A461-0FF9307CDDFB}"/>
              </c:ext>
            </c:extLst>
          </c:dPt>
          <c:dLbls>
            <c:dLbl>
              <c:idx val="0"/>
              <c:layout>
                <c:manualLayout>
                  <c:x val="3.6810464160920202E-2"/>
                  <c:y val="-0.1211948608308831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592814600976341"/>
                      <c:h val="0.1581071342139288"/>
                    </c:manualLayout>
                  </c15:layout>
                </c:ext>
                <c:ext xmlns:c16="http://schemas.microsoft.com/office/drawing/2014/chart" uri="{C3380CC4-5D6E-409C-BE32-E72D297353CC}">
                  <c16:uniqueId val="{00000001-83DB-47F8-A461-0FF9307CDDFB}"/>
                </c:ext>
              </c:extLst>
            </c:dLbl>
            <c:dLbl>
              <c:idx val="1"/>
              <c:layout>
                <c:manualLayout>
                  <c:x val="-1.0228099647301427E-2"/>
                  <c:y val="-3.3959559666692147E-3"/>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599531858315489"/>
                      <c:h val="0.15885903218408376"/>
                    </c:manualLayout>
                  </c15:layout>
                </c:ext>
                <c:ext xmlns:c16="http://schemas.microsoft.com/office/drawing/2014/chart" uri="{C3380CC4-5D6E-409C-BE32-E72D297353CC}">
                  <c16:uniqueId val="{00000003-83DB-47F8-A461-0FF9307CDDFB}"/>
                </c:ext>
              </c:extLst>
            </c:dLbl>
            <c:dLbl>
              <c:idx val="2"/>
              <c:layout>
                <c:manualLayout>
                  <c:x val="-1.3867821628464325E-2"/>
                  <c:y val="1.9443276507912239E-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4179190603610604"/>
                      <c:h val="0.15891552781577287"/>
                    </c:manualLayout>
                  </c15:layout>
                </c:ext>
                <c:ext xmlns:c16="http://schemas.microsoft.com/office/drawing/2014/chart" uri="{C3380CC4-5D6E-409C-BE32-E72D297353CC}">
                  <c16:uniqueId val="{00000005-83DB-47F8-A461-0FF9307CDDFB}"/>
                </c:ext>
              </c:extLst>
            </c:dLbl>
            <c:dLbl>
              <c:idx val="4"/>
              <c:layout>
                <c:manualLayout>
                  <c:x val="9.2574176490740956E-2"/>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6865031224259641"/>
                      <c:h val="0.11977817459319436"/>
                    </c:manualLayout>
                  </c15:layout>
                </c:ext>
                <c:ext xmlns:c16="http://schemas.microsoft.com/office/drawing/2014/chart" uri="{C3380CC4-5D6E-409C-BE32-E72D297353CC}">
                  <c16:uniqueId val="{00000009-83DB-47F8-A461-0FF9307CDDFB}"/>
                </c:ext>
              </c:extLst>
            </c:dLbl>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Academic</c:v>
                </c:pt>
                <c:pt idx="1">
                  <c:v>Academic Support</c:v>
                </c:pt>
                <c:pt idx="2">
                  <c:v>Admin and Support</c:v>
                </c:pt>
              </c:strCache>
            </c:strRef>
          </c:cat>
          <c:val>
            <c:numRef>
              <c:f>Sheet1!$B$2:$B$4</c:f>
              <c:numCache>
                <c:formatCode>General</c:formatCode>
                <c:ptCount val="3"/>
                <c:pt idx="0">
                  <c:v>961991</c:v>
                </c:pt>
                <c:pt idx="1">
                  <c:v>196859</c:v>
                </c:pt>
                <c:pt idx="2">
                  <c:v>537500</c:v>
                </c:pt>
              </c:numCache>
            </c:numRef>
          </c:val>
          <c:extLst>
            <c:ext xmlns:c16="http://schemas.microsoft.com/office/drawing/2014/chart" uri="{C3380CC4-5D6E-409C-BE32-E72D297353CC}">
              <c16:uniqueId val="{0000000A-83DB-47F8-A461-0FF9307CDDFB}"/>
            </c:ext>
          </c:extLst>
        </c:ser>
        <c:dLbls>
          <c:showLegendKey val="0"/>
          <c:showVal val="0"/>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baseline="0"/>
      </a:pPr>
      <a:endParaRPr lang="en-US"/>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r>
              <a:rPr lang="en-US" sz="1400" b="1" dirty="0">
                <a:solidFill>
                  <a:schemeClr val="tx1"/>
                </a:solidFill>
                <a:latin typeface="Arial" panose="020B0604020202020204" pitchFamily="34" charset="0"/>
                <a:cs typeface="Arial" panose="020B0604020202020204" pitchFamily="34" charset="0"/>
              </a:rPr>
              <a:t>Growth in Teaching Capacity and</a:t>
            </a:r>
            <a:r>
              <a:rPr lang="en-US" sz="1400" b="1" baseline="0" dirty="0">
                <a:solidFill>
                  <a:schemeClr val="tx1"/>
                </a:solidFill>
                <a:latin typeface="Arial" panose="020B0604020202020204" pitchFamily="34" charset="0"/>
                <a:cs typeface="Arial" panose="020B0604020202020204" pitchFamily="34" charset="0"/>
              </a:rPr>
              <a:t> Student Enrolment</a:t>
            </a:r>
            <a:endParaRPr lang="en-US" sz="1400" b="1" dirty="0">
              <a:solidFill>
                <a:schemeClr val="tx1"/>
              </a:solidFill>
              <a:latin typeface="Arial" panose="020B0604020202020204" pitchFamily="34" charset="0"/>
              <a:cs typeface="Arial" panose="020B0604020202020204" pitchFamily="34" charset="0"/>
            </a:endParaRPr>
          </a:p>
        </c:rich>
      </c:tx>
      <c:layout>
        <c:manualLayout>
          <c:xMode val="edge"/>
          <c:yMode val="edge"/>
          <c:x val="0.11313210848643919"/>
          <c:y val="2.6737125773716789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0.14886095968773133"/>
          <c:y val="0.17189905188292817"/>
          <c:w val="0.68629517464163137"/>
          <c:h val="0.62115200273878801"/>
        </c:manualLayout>
      </c:layout>
      <c:lineChart>
        <c:grouping val="standard"/>
        <c:varyColors val="0"/>
        <c:ser>
          <c:idx val="1"/>
          <c:order val="1"/>
          <c:tx>
            <c:strRef>
              <c:f>'RAW Data'!$B$1</c:f>
              <c:strCache>
                <c:ptCount val="1"/>
                <c:pt idx="0">
                  <c:v>Teaching Capacity</c:v>
                </c:pt>
              </c:strCache>
            </c:strRef>
          </c:tx>
          <c:spPr>
            <a:ln w="28575" cap="rnd">
              <a:solidFill>
                <a:srgbClr val="154734"/>
              </a:solidFill>
              <a:round/>
            </a:ln>
            <a:effectLst/>
          </c:spPr>
          <c:marker>
            <c:symbol val="circle"/>
            <c:size val="6"/>
            <c:spPr>
              <a:solidFill>
                <a:srgbClr val="154734"/>
              </a:solidFill>
              <a:ln w="9525">
                <a:solidFill>
                  <a:srgbClr val="154734"/>
                </a:solidFill>
              </a:ln>
              <a:effectLst/>
            </c:spPr>
          </c:marker>
          <c:dLbls>
            <c:dLbl>
              <c:idx val="6"/>
              <c:layout>
                <c:manualLayout>
                  <c:x val="-4.4631820733938052E-2"/>
                  <c:y val="-3.323129593922412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DA6-4961-8AA5-6B43E14E9E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'RAW Data'!$A$2:$A$8</c:f>
              <c:strCache>
                <c:ptCount val="7"/>
                <c:pt idx="0">
                  <c:v>2013-14</c:v>
                </c:pt>
                <c:pt idx="1">
                  <c:v>2014-15</c:v>
                </c:pt>
                <c:pt idx="2">
                  <c:v>2015-16</c:v>
                </c:pt>
                <c:pt idx="3">
                  <c:v>2016-17</c:v>
                </c:pt>
                <c:pt idx="4">
                  <c:v>2017-18</c:v>
                </c:pt>
                <c:pt idx="5">
                  <c:v>2018-19</c:v>
                </c:pt>
                <c:pt idx="6">
                  <c:v>2019-20*</c:v>
                </c:pt>
              </c:strCache>
            </c:strRef>
          </c:cat>
          <c:val>
            <c:numRef>
              <c:f>'RAW Data'!$B$2:$B$8</c:f>
              <c:numCache>
                <c:formatCode>0.0</c:formatCode>
                <c:ptCount val="7"/>
                <c:pt idx="0">
                  <c:v>337.5</c:v>
                </c:pt>
                <c:pt idx="1">
                  <c:v>344.5</c:v>
                </c:pt>
                <c:pt idx="2">
                  <c:v>328</c:v>
                </c:pt>
                <c:pt idx="3">
                  <c:v>344</c:v>
                </c:pt>
                <c:pt idx="4">
                  <c:v>374.5</c:v>
                </c:pt>
                <c:pt idx="5">
                  <c:v>386.5</c:v>
                </c:pt>
                <c:pt idx="6">
                  <c:v>392.5</c:v>
                </c:pt>
              </c:numCache>
            </c:numRef>
          </c:val>
          <c:smooth val="0"/>
          <c:extLst>
            <c:ext xmlns:c16="http://schemas.microsoft.com/office/drawing/2014/chart" uri="{C3380CC4-5D6E-409C-BE32-E72D297353CC}">
              <c16:uniqueId val="{00000001-DDA6-4961-8AA5-6B43E14E9EE3}"/>
            </c:ext>
          </c:extLst>
        </c:ser>
        <c:dLbls>
          <c:dLblPos val="t"/>
          <c:showLegendKey val="0"/>
          <c:showVal val="1"/>
          <c:showCatName val="0"/>
          <c:showSerName val="0"/>
          <c:showPercent val="0"/>
          <c:showBubbleSize val="0"/>
        </c:dLbls>
        <c:marker val="1"/>
        <c:smooth val="0"/>
        <c:axId val="-996884192"/>
        <c:axId val="-996880928"/>
        <c:extLst>
          <c:ext xmlns:c15="http://schemas.microsoft.com/office/drawing/2012/chart" uri="{02D57815-91ED-43cb-92C2-25804820EDAC}">
            <c15:filteredLineSeries>
              <c15:ser>
                <c:idx val="0"/>
                <c:order val="0"/>
                <c:tx>
                  <c:strRef>
                    <c:extLst>
                      <c:ext uri="{02D57815-91ED-43cb-92C2-25804820EDAC}">
                        <c15:formulaRef>
                          <c15:sqref>'RAW Data'!$A$1</c15:sqref>
                        </c15:formulaRef>
                      </c:ext>
                    </c:extLst>
                    <c:strCache>
                      <c:ptCount val="1"/>
                      <c:pt idx="0">
                        <c:v>Year</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'RAW Data'!$A$2:$A$8</c15:sqref>
                        </c15:formulaRef>
                      </c:ext>
                    </c:extLst>
                    <c:strCache>
                      <c:ptCount val="7"/>
                      <c:pt idx="0">
                        <c:v>2013-14</c:v>
                      </c:pt>
                      <c:pt idx="1">
                        <c:v>2014-15</c:v>
                      </c:pt>
                      <c:pt idx="2">
                        <c:v>2015-16</c:v>
                      </c:pt>
                      <c:pt idx="3">
                        <c:v>2016-17</c:v>
                      </c:pt>
                      <c:pt idx="4">
                        <c:v>2017-18</c:v>
                      </c:pt>
                      <c:pt idx="5">
                        <c:v>2018-19</c:v>
                      </c:pt>
                      <c:pt idx="6">
                        <c:v>2019-20*</c:v>
                      </c:pt>
                    </c:strCache>
                  </c:strRef>
                </c:cat>
                <c:val>
                  <c:numRef>
                    <c:extLst>
                      <c:ext uri="{02D57815-91ED-43cb-92C2-25804820EDAC}">
                        <c15:formulaRef>
                          <c15:sqref>'RAW Data'!$A$2:$A$8</c15:sqref>
                        </c15:formulaRef>
                      </c:ext>
                    </c:extLst>
                    <c:numCache>
                      <c:formatCode>General</c:formatCode>
                      <c:ptCount val="7"/>
                      <c:pt idx="0">
                        <c:v>0</c:v>
                      </c:pt>
                      <c:pt idx="1">
                        <c:v>0</c:v>
                      </c:pt>
                      <c:pt idx="2">
                        <c:v>0</c:v>
                      </c:pt>
                      <c:pt idx="3">
                        <c:v>0</c:v>
                      </c:pt>
                      <c:pt idx="4">
                        <c:v>0</c:v>
                      </c:pt>
                      <c:pt idx="5">
                        <c:v>0</c:v>
                      </c:pt>
                      <c:pt idx="6">
                        <c:v>0</c:v>
                      </c:pt>
                    </c:numCache>
                  </c:numRef>
                </c:val>
                <c:smooth val="0"/>
                <c:extLst>
                  <c:ext xmlns:c16="http://schemas.microsoft.com/office/drawing/2014/chart" uri="{C3380CC4-5D6E-409C-BE32-E72D297353CC}">
                    <c16:uniqueId val="{00000007-DDA6-4961-8AA5-6B43E14E9EE3}"/>
                  </c:ext>
                </c:extLst>
              </c15:ser>
            </c15:filteredLineSeries>
          </c:ext>
        </c:extLst>
      </c:lineChart>
      <c:lineChart>
        <c:grouping val="standard"/>
        <c:varyColors val="0"/>
        <c:ser>
          <c:idx val="2"/>
          <c:order val="2"/>
          <c:tx>
            <c:strRef>
              <c:f>'RAW Data'!$C$1</c:f>
              <c:strCache>
                <c:ptCount val="1"/>
                <c:pt idx="0">
                  <c:v>Headcount</c:v>
                </c:pt>
              </c:strCache>
            </c:strRef>
          </c:tx>
          <c:spPr>
            <a:ln w="28575" cap="rnd">
              <a:solidFill>
                <a:srgbClr val="5B7F95"/>
              </a:solidFill>
              <a:round/>
            </a:ln>
            <a:effectLst/>
          </c:spPr>
          <c:marker>
            <c:symbol val="x"/>
            <c:size val="5"/>
            <c:spPr>
              <a:solidFill>
                <a:srgbClr val="5B7F95"/>
              </a:solidFill>
              <a:ln w="9525">
                <a:solidFill>
                  <a:srgbClr val="5B7F95"/>
                </a:solidFill>
              </a:ln>
              <a:effectLst/>
            </c:spPr>
          </c:marker>
          <c:dLbls>
            <c:dLbl>
              <c:idx val="3"/>
              <c:layout>
                <c:manualLayout>
                  <c:x val="-3.9529914529914528E-3"/>
                  <c:y val="2.567360132615002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DA6-4961-8AA5-6B43E14E9EE3}"/>
                </c:ext>
              </c:extLst>
            </c:dLbl>
            <c:dLbl>
              <c:idx val="4"/>
              <c:layout>
                <c:manualLayout>
                  <c:x val="-3.9529914529914528E-3"/>
                  <c:y val="2.14630750103605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DA6-4961-8AA5-6B43E14E9EE3}"/>
                </c:ext>
              </c:extLst>
            </c:dLbl>
            <c:dLbl>
              <c:idx val="5"/>
              <c:layout>
                <c:manualLayout>
                  <c:x val="-2.8178544989568691E-2"/>
                  <c:y val="4.25157065893079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DA6-4961-8AA5-6B43E14E9EE3}"/>
                </c:ext>
              </c:extLst>
            </c:dLbl>
            <c:dLbl>
              <c:idx val="6"/>
              <c:layout>
                <c:manualLayout>
                  <c:x val="-3.046974897368598E-2"/>
                  <c:y val="4.152820469633812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DA6-4961-8AA5-6B43E14E9EE3}"/>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'RAW Data'!$C$2:$C$8</c:f>
              <c:numCache>
                <c:formatCode>0</c:formatCode>
                <c:ptCount val="7"/>
                <c:pt idx="0">
                  <c:v>8117</c:v>
                </c:pt>
                <c:pt idx="1">
                  <c:v>8092</c:v>
                </c:pt>
                <c:pt idx="2">
                  <c:v>8205</c:v>
                </c:pt>
                <c:pt idx="3">
                  <c:v>8940</c:v>
                </c:pt>
                <c:pt idx="4">
                  <c:v>9579</c:v>
                </c:pt>
                <c:pt idx="5">
                  <c:v>10264</c:v>
                </c:pt>
                <c:pt idx="6">
                  <c:v>10732</c:v>
                </c:pt>
              </c:numCache>
            </c:numRef>
          </c:val>
          <c:smooth val="0"/>
          <c:extLst>
            <c:ext xmlns:c16="http://schemas.microsoft.com/office/drawing/2014/chart" uri="{C3380CC4-5D6E-409C-BE32-E72D297353CC}">
              <c16:uniqueId val="{00000006-DDA6-4961-8AA5-6B43E14E9EE3}"/>
            </c:ext>
          </c:extLst>
        </c:ser>
        <c:dLbls>
          <c:dLblPos val="t"/>
          <c:showLegendKey val="0"/>
          <c:showVal val="1"/>
          <c:showCatName val="0"/>
          <c:showSerName val="0"/>
          <c:showPercent val="0"/>
          <c:showBubbleSize val="0"/>
        </c:dLbls>
        <c:marker val="1"/>
        <c:smooth val="0"/>
        <c:axId val="-1000184112"/>
        <c:axId val="-1059083424"/>
      </c:lineChart>
      <c:catAx>
        <c:axId val="-996884192"/>
        <c:scaling>
          <c:orientation val="minMax"/>
        </c:scaling>
        <c:delete val="0"/>
        <c:axPos val="b"/>
        <c:numFmt formatCode="General" sourceLinked="1"/>
        <c:majorTickMark val="none"/>
        <c:minorTickMark val="none"/>
        <c:tickLblPos val="nextTo"/>
        <c:spPr>
          <a:noFill/>
          <a:ln w="9525" cap="flat" cmpd="sng" algn="ctr">
            <a:solidFill>
              <a:schemeClr val="bg1">
                <a:lumMod val="50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6880928"/>
        <c:crosses val="autoZero"/>
        <c:auto val="1"/>
        <c:lblAlgn val="ctr"/>
        <c:lblOffset val="100"/>
        <c:noMultiLvlLbl val="0"/>
      </c:catAx>
      <c:valAx>
        <c:axId val="-996880928"/>
        <c:scaling>
          <c:orientation val="minMax"/>
          <c:max val="400"/>
          <c:min val="300"/>
        </c:scaling>
        <c:delete val="0"/>
        <c:axPos val="l"/>
        <c:majorGridlines>
          <c:spPr>
            <a:ln w="9525" cap="flat" cmpd="sng" algn="ctr">
              <a:solidFill>
                <a:schemeClr val="bg1">
                  <a:lumMod val="50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Teaching Capacity</a:t>
                </a:r>
              </a:p>
            </c:rich>
          </c:tx>
          <c:layout>
            <c:manualLayout>
              <c:xMode val="edge"/>
              <c:yMode val="edge"/>
              <c:x val="1.9230769230769232E-2"/>
              <c:y val="0.2311505080269874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996884192"/>
        <c:crosses val="autoZero"/>
        <c:crossBetween val="between"/>
        <c:majorUnit val="10"/>
      </c:valAx>
      <c:valAx>
        <c:axId val="-1059083424"/>
        <c:scaling>
          <c:orientation val="minMax"/>
          <c:max val="11250"/>
          <c:min val="8000"/>
        </c:scaling>
        <c:delete val="0"/>
        <c:axPos val="r"/>
        <c:title>
          <c:tx>
            <c:rich>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r>
                  <a:rPr lang="en-US" sz="1200">
                    <a:solidFill>
                      <a:schemeClr val="tx1"/>
                    </a:solidFill>
                    <a:latin typeface="Arial" panose="020B0604020202020204" pitchFamily="34" charset="0"/>
                    <a:cs typeface="Arial" panose="020B0604020202020204" pitchFamily="34" charset="0"/>
                  </a:rPr>
                  <a:t>Headcount</a:t>
                </a:r>
              </a:p>
              <a:p>
                <a:pPr>
                  <a:defRPr sz="1200">
                    <a:solidFill>
                      <a:schemeClr val="tx1"/>
                    </a:solidFill>
                    <a:latin typeface="Arial" panose="020B0604020202020204" pitchFamily="34" charset="0"/>
                    <a:cs typeface="Arial" panose="020B0604020202020204" pitchFamily="34" charset="0"/>
                  </a:defRPr>
                </a:pPr>
                <a:endParaRPr lang="en-US" sz="1200">
                  <a:solidFill>
                    <a:schemeClr val="tx1"/>
                  </a:solidFill>
                  <a:latin typeface="Arial" panose="020B0604020202020204" pitchFamily="34" charset="0"/>
                  <a:cs typeface="Arial" panose="020B0604020202020204" pitchFamily="34" charset="0"/>
                </a:endParaRPr>
              </a:p>
            </c:rich>
          </c:tx>
          <c:layout>
            <c:manualLayout>
              <c:xMode val="edge"/>
              <c:yMode val="edge"/>
              <c:x val="0.93438370846730978"/>
              <c:y val="0.32525063201455645"/>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000184112"/>
        <c:crosses val="max"/>
        <c:crossBetween val="between"/>
      </c:valAx>
      <c:catAx>
        <c:axId val="-1000184112"/>
        <c:scaling>
          <c:orientation val="minMax"/>
        </c:scaling>
        <c:delete val="1"/>
        <c:axPos val="t"/>
        <c:numFmt formatCode="General" sourceLinked="1"/>
        <c:majorTickMark val="out"/>
        <c:minorTickMark val="none"/>
        <c:tickLblPos val="nextTo"/>
        <c:crossAx val="-1059083424"/>
        <c:crosses val="max"/>
        <c:auto val="1"/>
        <c:lblAlgn val="ctr"/>
        <c:lblOffset val="100"/>
        <c:noMultiLvlLbl val="0"/>
      </c:catAx>
      <c:spPr>
        <a:noFill/>
        <a:ln>
          <a:noFill/>
        </a:ln>
        <a:effectLst/>
      </c:spPr>
    </c:plotArea>
    <c:legend>
      <c:legendPos val="t"/>
      <c:layout>
        <c:manualLayout>
          <c:xMode val="edge"/>
          <c:yMode val="edge"/>
          <c:x val="0.25370196513897303"/>
          <c:y val="0.92062581307771307"/>
          <c:w val="0.52678410391008812"/>
          <c:h val="7.6643759490302277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Sheet1!$A$1:$A$6</cx:f>
        <cx:lvl ptCount="6">
          <cx:pt idx="0">2016/2017</cx:pt>
          <cx:pt idx="1">2017/2018</cx:pt>
          <cx:pt idx="2">2018/2019</cx:pt>
          <cx:pt idx="3">2019/2020</cx:pt>
          <cx:pt idx="4">2020/2021</cx:pt>
          <cx:pt idx="5">2021/2022</cx:pt>
        </cx:lvl>
      </cx:strDim>
      <cx:numDim type="val">
        <cx:f>Sheet1!$B$1:$B$6</cx:f>
        <cx:lvl ptCount="6" formatCode="General">
          <cx:pt idx="0">607</cx:pt>
          <cx:pt idx="1">604</cx:pt>
          <cx:pt idx="2">690</cx:pt>
          <cx:pt idx="3">320</cx:pt>
          <cx:pt idx="4">345</cx:pt>
          <cx:pt idx="5">240</cx:pt>
        </cx:lvl>
      </cx:numDim>
    </cx:data>
  </cx:chartData>
  <cx:chart>
    <cx:title pos="t" align="ctr" overlay="0">
      <cx:tx>
        <cx:rich>
          <a:bodyPr spcFirstLastPara="1" vertOverflow="ellipsis" wrap="square" lIns="0" tIns="0" rIns="0" bIns="0" anchor="ctr" anchorCtr="1"/>
          <a:lstStyle/>
          <a:p>
            <a:pPr algn="ctr">
              <a:defRPr b="1">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Full-time Equivalent Enrolment Projections </a:t>
            </a:r>
          </a:p>
          <a:p>
            <a:pPr algn="ctr">
              <a:defRPr b="1">
                <a:solidFill>
                  <a:sysClr val="windowText" lastClr="000000"/>
                </a:solidFill>
                <a:latin typeface="Arial" panose="020B0604020202020204" pitchFamily="34" charset="0"/>
                <a:ea typeface="Arial" panose="020B0604020202020204" pitchFamily="34" charset="0"/>
                <a:cs typeface="Arial" panose="020B0604020202020204" pitchFamily="34" charset="0"/>
              </a:defRPr>
            </a:pPr>
            <a:r>
              <a:rPr lang="en-US" b="1">
                <a:solidFill>
                  <a:sysClr val="windowText" lastClr="000000"/>
                </a:solidFill>
                <a:latin typeface="Arial" panose="020B0604020202020204" pitchFamily="34" charset="0"/>
                <a:cs typeface="Arial" panose="020B0604020202020204" pitchFamily="34" charset="0"/>
              </a:rPr>
              <a:t>Year-Over-Year Growth</a:t>
            </a:r>
            <a:endParaRPr lang="en-US" b="0">
              <a:solidFill>
                <a:sysClr val="windowText" lastClr="000000"/>
              </a:solidFill>
              <a:latin typeface="Arial" panose="020B0604020202020204" pitchFamily="34" charset="0"/>
              <a:cs typeface="Arial" panose="020B0604020202020204" pitchFamily="34" charset="0"/>
            </a:endParaRPr>
          </a:p>
        </cx:rich>
      </cx:tx>
    </cx:title>
    <cx:plotArea>
      <cx:plotAreaRegion>
        <cx:series layoutId="waterfall" uniqueId="{F538378C-BC8F-49E8-8988-8413AE9A1AE9}">
          <cx:dataLabels>
            <cx:visibility seriesName="0" categoryName="0" value="1"/>
          </cx:dataLabels>
          <cx:dataId val="0"/>
          <cx:layoutPr>
            <cx:subtotals/>
          </cx:layoutPr>
        </cx:series>
      </cx:plotAreaRegion>
      <cx:axis id="0">
        <cx:catScaling gapWidth="0.5"/>
        <cx:tickLabels/>
      </cx:axis>
      <cx:axis id="1">
        <cx:valScaling/>
        <cx:majorGridlines/>
        <cx:tickLabels/>
        <cx:numFmt formatCode="#,##0" sourceLinked="0"/>
      </cx:axis>
    </cx:plotArea>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95">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bodyPr/>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bodyPr wrap="square" lIns="38100" tIns="19050" rIns="38100" bIns="19050" anchor="ctr">
      <a:spAutoFit/>
    </cs:bodyPr>
  </cs:dataLabel>
  <cs:dataLabelCallout>
    <cs:lnRef idx="0"/>
    <cs:fillRef idx="0"/>
    <cs:effectRef idx="0"/>
    <cs:fontRef idx="minor">
      <a:schemeClr val="tx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tx1"/>
    </cs:fontRef>
    <cs:spPr>
      <a:solidFill>
        <a:schemeClr val="phClr"/>
      </a:solidFill>
      <a:ln>
        <a:solidFill>
          <a:schemeClr val="phClr"/>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solidFill>
    </cs:spPr>
  </cs:downBar>
  <cs:dropLine>
    <cs:lnRef idx="0"/>
    <cs:fillRef idx="0"/>
    <cs:effectRef idx="0"/>
    <cs:fontRef idx="minor">
      <a:schemeClr val="tx1"/>
    </cs:fontRef>
  </cs:dropLine>
  <cs:errorBar>
    <cs:lnRef idx="0"/>
    <cs:fillRef idx="0"/>
    <cs:effectRef idx="0"/>
    <cs:fontRef idx="minor">
      <a:schemeClr val="tx1"/>
    </cs:fontRef>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a:solidFill>
          <a:schemeClr val="tx1">
            <a:lumMod val="15000"/>
            <a:lumOff val="85000"/>
            <a:lumOff val="10000"/>
          </a:schemeClr>
        </a:solidFill>
      </a:ln>
    </cs:spPr>
  </cs:gridlineMinor>
  <cs:hiLoLine>
    <cs:lnRef idx="0"/>
    <cs:fillRef idx="0"/>
    <cs:effectRef idx="0"/>
    <cs:fontRef idx="minor">
      <a:schemeClr val="tx1"/>
    </cs:fontRef>
  </cs:hiLoLine>
  <cs:leaderLine>
    <cs:lnRef idx="0"/>
    <cs:fillRef idx="0"/>
    <cs:effectRef idx="0"/>
    <cs:fontRef idx="minor">
      <a:schemeClr val="tx1"/>
    </cs:fontRef>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bodyPr/>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b="0" kern="1200" spc="0" baseline="0"/>
    <cs:bodyPr/>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cs:spPr>
  </cs:upBar>
  <cs:valueAxis>
    <cs:lnRef idx="0"/>
    <cs:fillRef idx="0"/>
    <cs:effectRef idx="0"/>
    <cs:fontRef idx="minor">
      <a:schemeClr val="tx1">
        <a:lumMod val="65000"/>
        <a:lumOff val="35000"/>
      </a:schemeClr>
    </cs:fontRef>
    <cs:defRPr sz="900" kern="1200"/>
    <cs:bodyPr/>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197"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77D59C-657D-4A97-BF8A-C0C035C17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34</Pages>
  <Words>7530</Words>
  <Characters>42925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TRENT UNIVERSITY – 2017/2018 BUDGET REPORT</vt:lpstr>
    </vt:vector>
  </TitlesOfParts>
  <Company>Trent University</Company>
  <LinksUpToDate>false</LinksUpToDate>
  <CharactersWithSpaces>50355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TRENT UNIVERSITY – 2017/2018 BUDGET REPORT</dc:title>
  <dc:subject/>
  <dc:creator>Cheryl Turk</dc:creator>
  <cp:keywords/>
  <dc:description/>
  <cp:lastModifiedBy>Jennifer Arcand</cp:lastModifiedBy>
  <cp:revision>5</cp:revision>
  <cp:lastPrinted>2018-06-13T13:50:00Z</cp:lastPrinted>
  <dcterms:created xsi:type="dcterms:W3CDTF">2021-11-18T15:54:00Z</dcterms:created>
  <dcterms:modified xsi:type="dcterms:W3CDTF">2021-11-18T19:01:00Z</dcterms:modified>
</cp:coreProperties>
</file>